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0DAA" w14:textId="77777777" w:rsidR="00E92CE4" w:rsidRDefault="00000000">
      <w:pPr>
        <w:spacing w:after="240"/>
        <w:jc w:val="center"/>
      </w:pPr>
      <w:r>
        <w:rPr>
          <w:b/>
          <w:bCs/>
          <w:color w:val="1F3864"/>
          <w:sz w:val="48"/>
          <w:szCs w:val="48"/>
        </w:rPr>
        <w:t>Anawanna Trails District 13</w:t>
      </w:r>
    </w:p>
    <w:p w14:paraId="757AFA76" w14:textId="77777777" w:rsidR="00E92CE4" w:rsidRDefault="00000000">
      <w:pPr>
        <w:spacing w:after="120"/>
        <w:jc w:val="center"/>
      </w:pPr>
      <w:r>
        <w:rPr>
          <w:color w:val="2E5F96"/>
          <w:sz w:val="36"/>
          <w:szCs w:val="36"/>
        </w:rPr>
        <w:t>Total Youth Served Analysis</w:t>
      </w:r>
    </w:p>
    <w:p w14:paraId="09E77A8E" w14:textId="77777777" w:rsidR="00E92CE4" w:rsidRDefault="00000000">
      <w:pPr>
        <w:spacing w:after="480"/>
        <w:jc w:val="center"/>
      </w:pPr>
      <w:r>
        <w:rPr>
          <w:i/>
          <w:iCs/>
          <w:color w:val="777777"/>
          <w:sz w:val="22"/>
          <w:szCs w:val="22"/>
        </w:rPr>
        <w:t xml:space="preserve">District Chairman Transition </w:t>
      </w:r>
      <w:proofErr w:type="gramStart"/>
      <w:r>
        <w:rPr>
          <w:i/>
          <w:iCs/>
          <w:color w:val="777777"/>
          <w:sz w:val="22"/>
          <w:szCs w:val="22"/>
        </w:rPr>
        <w:t>Report  •</w:t>
      </w:r>
      <w:proofErr w:type="gramEnd"/>
      <w:r>
        <w:rPr>
          <w:i/>
          <w:iCs/>
          <w:color w:val="777777"/>
          <w:sz w:val="22"/>
          <w:szCs w:val="22"/>
        </w:rPr>
        <w:t xml:space="preserve">  April 2026</w:t>
      </w:r>
    </w:p>
    <w:p w14:paraId="10554C77" w14:textId="77777777" w:rsidR="00E92CE4" w:rsidRDefault="00000000">
      <w:pPr>
        <w:pStyle w:val="Heading1"/>
      </w:pPr>
      <w:r>
        <w:rPr>
          <w:sz w:val="32"/>
          <w:szCs w:val="32"/>
        </w:rPr>
        <w:t>Executive Summary</w:t>
      </w:r>
    </w:p>
    <w:p w14:paraId="33633185" w14:textId="77777777" w:rsidR="00E92CE4" w:rsidRDefault="00000000">
      <w:pPr>
        <w:spacing w:after="160"/>
      </w:pPr>
      <w:r>
        <w:t>Total Youth Served (TYS) is Scouting America's primary measure of community reach. Unlike registered membership, which counts only formally enrolled youth, TYS is designed to capture the full breadth of young people touched by Scouting programs in a district — including participants in merit badge fairs, STEM events, Scouting for Food, service project beneficiaries, and other program-adjacent activities. In practice for Anawanna Trails District 13, TYS closely tracks registered youth enrollment and provides a useful year-over-year and geographic view of the district's program footprint.</w:t>
      </w:r>
    </w:p>
    <w:p w14:paraId="7F6F8F4F" w14:textId="77777777" w:rsidR="00E92CE4" w:rsidRDefault="00E92CE4">
      <w:pPr>
        <w:spacing w:after="80"/>
      </w:pPr>
    </w:p>
    <w:p w14:paraId="75D9BB4A" w14:textId="77777777" w:rsidR="00E92CE4" w:rsidRDefault="00000000">
      <w:pPr>
        <w:spacing w:after="160"/>
      </w:pPr>
      <w:r>
        <w:rPr>
          <w:b/>
          <w:bCs/>
        </w:rPr>
        <w:t xml:space="preserve">Three-year trend: </w:t>
      </w:r>
      <w:r>
        <w:t xml:space="preserve">The district has served </w:t>
      </w:r>
      <w:r>
        <w:rPr>
          <w:b/>
          <w:bCs/>
        </w:rPr>
        <w:t>715 youth (2024), 651 youth (2025), and 518 youth year-to-date as of April 2026</w:t>
      </w:r>
      <w:r>
        <w:t xml:space="preserve">. The year-over-year decline accelerated from -9.0% (2024–2025) to </w:t>
      </w:r>
      <w:r>
        <w:rPr>
          <w:b/>
          <w:bCs/>
        </w:rPr>
        <w:t>-20.4% (2025–2026 YTD)</w:t>
      </w:r>
      <w:r>
        <w:t>. This acceleration is the most significant single finding in the TYS data. While the 2026 figure is a year-to-date snapshot and not directly comparable to a full calendar-year figure, comparing April 2026 against April 2025 provides a like-for-like measurement showing a loss of 133 youth from the district's reach in one year.</w:t>
      </w:r>
    </w:p>
    <w:p w14:paraId="3CF2EDCF" w14:textId="77777777" w:rsidR="00E92CE4" w:rsidRDefault="00E92CE4">
      <w:pPr>
        <w:spacing w:after="80"/>
      </w:pPr>
    </w:p>
    <w:p w14:paraId="4E99F5A4" w14:textId="77777777" w:rsidR="00E92CE4" w:rsidRDefault="00000000">
      <w:pPr>
        <w:spacing w:after="160"/>
      </w:pPr>
      <w:r>
        <w:rPr>
          <w:b/>
          <w:bCs/>
        </w:rPr>
        <w:t xml:space="preserve">Geographic picture: </w:t>
      </w:r>
      <w:r>
        <w:t xml:space="preserve">Scouting participation is heavily concentrated in ZIP code 15317 (Canonsburg / Peters Township), which accounts for </w:t>
      </w:r>
      <w:r>
        <w:rPr>
          <w:b/>
          <w:bCs/>
        </w:rPr>
        <w:t>42.7% of all youth served in 2025 (278 of 651)</w:t>
      </w:r>
      <w:r>
        <w:t xml:space="preserve">. The most alarming geographic trend is the near-collapse of participation in </w:t>
      </w:r>
      <w:r>
        <w:rPr>
          <w:b/>
          <w:bCs/>
        </w:rPr>
        <w:t>ZIP 15219 (Pittsburgh East)</w:t>
      </w:r>
      <w:r>
        <w:t>, which fell from 63 youth in 2024 to 35 in 2025 and just 13 in 2026 YTD — an 80% decline in two years. The district’s geographic reach is contracting toward its core communities.</w:t>
      </w:r>
    </w:p>
    <w:p w14:paraId="03716D72" w14:textId="77777777" w:rsidR="00E92CE4" w:rsidRDefault="00E92CE4">
      <w:pPr>
        <w:spacing w:after="80"/>
      </w:pPr>
    </w:p>
    <w:p w14:paraId="3180723A" w14:textId="77777777" w:rsidR="00E92CE4" w:rsidRDefault="00000000">
      <w:pPr>
        <w:spacing w:after="160"/>
      </w:pPr>
      <w:r>
        <w:rPr>
          <w:b/>
          <w:bCs/>
        </w:rPr>
        <w:t xml:space="preserve">Age pipeline: </w:t>
      </w:r>
      <w:r>
        <w:t xml:space="preserve">The sharpest decline is occurring in the </w:t>
      </w:r>
      <w:r>
        <w:rPr>
          <w:b/>
          <w:bCs/>
        </w:rPr>
        <w:t>Kindergarten through 2nd grade entry cohort</w:t>
      </w:r>
      <w:r>
        <w:t xml:space="preserve"> — the youngest Cubs who represent the future of the district’s pipeline. This group fell from 234 (2024) to 197 (2025) to 139 (2026 YTD), a 41% cumulative loss. If this age group cannot be rebuilt, the district will face a structural enrollment gap in Scouts BSA programs 4–6 years from now.</w:t>
      </w:r>
    </w:p>
    <w:p w14:paraId="27AADD4F" w14:textId="77777777" w:rsidR="00E92CE4" w:rsidRDefault="00E92CE4">
      <w:pPr>
        <w:spacing w:after="80"/>
      </w:pPr>
    </w:p>
    <w:p w14:paraId="60F8E90D" w14:textId="77777777" w:rsidR="00E92CE4" w:rsidRDefault="00000000">
      <w:pPr>
        <w:spacing w:after="160"/>
      </w:pPr>
      <w:r>
        <w:rPr>
          <w:b/>
          <w:bCs/>
        </w:rPr>
        <w:t xml:space="preserve">Gender: </w:t>
      </w:r>
      <w:r>
        <w:t xml:space="preserve">Female youth represent only 7.9–8.7% of all youth served across the three years, a figure that has remained stubbornly low despite the launch of girls’ Scouts BSA troops. The closure of three girls’ troops (9103, 9191, 9280) and the consolidation of girls’ Scouting into Troops 1305 (G) means that only one active girls’ Scouts BSA troop </w:t>
      </w:r>
      <w:r>
        <w:lastRenderedPageBreak/>
        <w:t>remains in the district. Growing female participation from 8% toward 12–15% is both a program opportunity and a demographic imperative.</w:t>
      </w:r>
    </w:p>
    <w:p w14:paraId="48119142" w14:textId="77777777" w:rsidR="00E92CE4" w:rsidRDefault="00E92CE4">
      <w:pPr>
        <w:spacing w:after="80"/>
      </w:pPr>
    </w:p>
    <w:p w14:paraId="64FE5C47" w14:textId="77777777" w:rsidR="00E92CE4" w:rsidRDefault="00000000">
      <w:pPr>
        <w:pStyle w:val="Heading1"/>
      </w:pPr>
      <w:r>
        <w:rPr>
          <w:sz w:val="32"/>
          <w:szCs w:val="32"/>
        </w:rPr>
        <w:t>Annual Total Youth Served Overview (2024–2026)</w:t>
      </w:r>
    </w:p>
    <w:p w14:paraId="0D26FEB1" w14:textId="77777777" w:rsidR="00E92CE4" w:rsidRDefault="00000000">
      <w:pPr>
        <w:spacing w:after="160"/>
      </w:pPr>
      <w:r>
        <w:t xml:space="preserve">The table below provides the district’s </w:t>
      </w:r>
      <w:proofErr w:type="gramStart"/>
      <w:r>
        <w:t>top-line</w:t>
      </w:r>
      <w:proofErr w:type="gramEnd"/>
      <w:r>
        <w:t xml:space="preserve"> TYS figures for 2024 (full year), 2025 (full year), and 2026 year-to-date as of April 6, 2026. Gender breakdowns are included to track the district’s progress toward broader program reach.</w:t>
      </w:r>
    </w:p>
    <w:p w14:paraId="2C05792F" w14:textId="77777777" w:rsidR="00E92CE4" w:rsidRDefault="00E92CE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500"/>
        <w:gridCol w:w="1100"/>
        <w:gridCol w:w="1100"/>
        <w:gridCol w:w="1100"/>
        <w:gridCol w:w="1580"/>
        <w:gridCol w:w="1480"/>
      </w:tblGrid>
      <w:tr w:rsidR="00E92CE4" w14:paraId="05C88897" w14:textId="77777777">
        <w:tblPrEx>
          <w:tblCellMar>
            <w:top w:w="0" w:type="dxa"/>
            <w:bottom w:w="0" w:type="dxa"/>
          </w:tblCellMar>
        </w:tblPrEx>
        <w:trPr>
          <w:tblHeader/>
        </w:trPr>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906D258" w14:textId="77777777" w:rsidR="00E92CE4" w:rsidRDefault="00000000">
            <w:pPr>
              <w:jc w:val="center"/>
            </w:pPr>
            <w:r>
              <w:rPr>
                <w:b/>
                <w:bCs/>
                <w:sz w:val="20"/>
                <w:szCs w:val="20"/>
              </w:rPr>
              <w:t>Year</w:t>
            </w:r>
          </w:p>
        </w:tc>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5C064BE" w14:textId="77777777" w:rsidR="00E92CE4" w:rsidRDefault="00000000">
            <w:pPr>
              <w:jc w:val="center"/>
            </w:pPr>
            <w:r>
              <w:rPr>
                <w:b/>
                <w:bCs/>
                <w:sz w:val="20"/>
                <w:szCs w:val="20"/>
              </w:rPr>
              <w:t>Total Youth Served</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0E5A0A6" w14:textId="77777777" w:rsidR="00E92CE4" w:rsidRDefault="00000000">
            <w:pPr>
              <w:jc w:val="center"/>
            </w:pPr>
            <w:r>
              <w:rPr>
                <w:b/>
                <w:bCs/>
                <w:sz w:val="20"/>
                <w:szCs w:val="20"/>
              </w:rPr>
              <w:t>Male</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450A8B2" w14:textId="77777777" w:rsidR="00E92CE4" w:rsidRDefault="00000000">
            <w:pPr>
              <w:jc w:val="center"/>
            </w:pPr>
            <w:r>
              <w:rPr>
                <w:b/>
                <w:bCs/>
                <w:sz w:val="20"/>
                <w:szCs w:val="20"/>
              </w:rPr>
              <w:t>Female</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5646479" w14:textId="77777777" w:rsidR="00E92CE4" w:rsidRDefault="00000000">
            <w:pPr>
              <w:jc w:val="center"/>
            </w:pPr>
            <w:r>
              <w:rPr>
                <w:b/>
                <w:bCs/>
                <w:sz w:val="20"/>
                <w:szCs w:val="20"/>
              </w:rPr>
              <w:t>Female %</w:t>
            </w:r>
          </w:p>
        </w:tc>
        <w:tc>
          <w:tcPr>
            <w:tcW w:w="15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76F3097" w14:textId="77777777" w:rsidR="00E92CE4" w:rsidRDefault="00000000">
            <w:pPr>
              <w:jc w:val="center"/>
            </w:pPr>
            <w:r>
              <w:rPr>
                <w:b/>
                <w:bCs/>
                <w:sz w:val="20"/>
                <w:szCs w:val="20"/>
              </w:rPr>
              <w:t>YOY Change</w:t>
            </w:r>
          </w:p>
        </w:tc>
        <w:tc>
          <w:tcPr>
            <w:tcW w:w="14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FA7DCA6" w14:textId="77777777" w:rsidR="00E92CE4" w:rsidRDefault="00000000">
            <w:pPr>
              <w:jc w:val="center"/>
            </w:pPr>
            <w:r>
              <w:rPr>
                <w:b/>
                <w:bCs/>
                <w:sz w:val="20"/>
                <w:szCs w:val="20"/>
              </w:rPr>
              <w:t>YOY %</w:t>
            </w:r>
          </w:p>
        </w:tc>
      </w:tr>
      <w:tr w:rsidR="00E92CE4" w14:paraId="6BEC38FF"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2CAE21" w14:textId="77777777" w:rsidR="00E92CE4" w:rsidRDefault="00000000">
            <w:r>
              <w:rPr>
                <w:sz w:val="20"/>
                <w:szCs w:val="20"/>
              </w:rPr>
              <w:t>2024 (full year)</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21230F" w14:textId="77777777" w:rsidR="00E92CE4" w:rsidRDefault="00000000">
            <w:pPr>
              <w:jc w:val="center"/>
            </w:pPr>
            <w:r>
              <w:rPr>
                <w:b/>
                <w:bCs/>
                <w:sz w:val="20"/>
                <w:szCs w:val="20"/>
              </w:rPr>
              <w:t>715</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4ACA4C" w14:textId="77777777" w:rsidR="00E92CE4" w:rsidRDefault="00000000">
            <w:pPr>
              <w:jc w:val="center"/>
            </w:pPr>
            <w:r>
              <w:rPr>
                <w:sz w:val="20"/>
                <w:szCs w:val="20"/>
              </w:rPr>
              <w:t>653</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3F82E7" w14:textId="77777777" w:rsidR="00E92CE4" w:rsidRDefault="00000000">
            <w:pPr>
              <w:jc w:val="center"/>
            </w:pPr>
            <w:r>
              <w:rPr>
                <w:sz w:val="20"/>
                <w:szCs w:val="20"/>
              </w:rPr>
              <w:t>62</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DA1BA" w14:textId="77777777" w:rsidR="00E92CE4" w:rsidRDefault="00000000">
            <w:pPr>
              <w:jc w:val="center"/>
            </w:pPr>
            <w:r>
              <w:rPr>
                <w:sz w:val="20"/>
                <w:szCs w:val="20"/>
              </w:rPr>
              <w:t>8.7%</w:t>
            </w:r>
          </w:p>
        </w:tc>
        <w:tc>
          <w:tcPr>
            <w:tcW w:w="15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820CD4" w14:textId="77777777" w:rsidR="00E92CE4" w:rsidRDefault="00000000">
            <w:pPr>
              <w:jc w:val="center"/>
            </w:pPr>
            <w:r>
              <w:rPr>
                <w:sz w:val="20"/>
                <w:szCs w:val="20"/>
              </w:rPr>
              <w:t>—</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32D397" w14:textId="77777777" w:rsidR="00E92CE4" w:rsidRDefault="00000000">
            <w:pPr>
              <w:jc w:val="center"/>
            </w:pPr>
            <w:r>
              <w:rPr>
                <w:sz w:val="20"/>
                <w:szCs w:val="20"/>
              </w:rPr>
              <w:t>—</w:t>
            </w:r>
          </w:p>
        </w:tc>
      </w:tr>
      <w:tr w:rsidR="00E92CE4" w14:paraId="62CC10A6"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53731D" w14:textId="77777777" w:rsidR="00E92CE4" w:rsidRDefault="00000000">
            <w:r>
              <w:rPr>
                <w:sz w:val="20"/>
                <w:szCs w:val="20"/>
              </w:rPr>
              <w:t>2025 (full year)</w:t>
            </w:r>
          </w:p>
        </w:tc>
        <w:tc>
          <w:tcPr>
            <w:tcW w:w="15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C740FB3" w14:textId="77777777" w:rsidR="00E92CE4" w:rsidRDefault="00000000">
            <w:pPr>
              <w:jc w:val="center"/>
            </w:pPr>
            <w:r>
              <w:rPr>
                <w:b/>
                <w:bCs/>
                <w:sz w:val="20"/>
                <w:szCs w:val="20"/>
              </w:rPr>
              <w:t>651</w:t>
            </w:r>
          </w:p>
        </w:tc>
        <w:tc>
          <w:tcPr>
            <w:tcW w:w="11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B8B4303" w14:textId="77777777" w:rsidR="00E92CE4" w:rsidRDefault="00000000">
            <w:pPr>
              <w:jc w:val="center"/>
            </w:pPr>
            <w:r>
              <w:rPr>
                <w:sz w:val="20"/>
                <w:szCs w:val="20"/>
              </w:rPr>
              <w:t>595</w:t>
            </w:r>
          </w:p>
        </w:tc>
        <w:tc>
          <w:tcPr>
            <w:tcW w:w="11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8967CAA" w14:textId="77777777" w:rsidR="00E92CE4" w:rsidRDefault="00000000">
            <w:pPr>
              <w:jc w:val="center"/>
            </w:pPr>
            <w:r>
              <w:rPr>
                <w:sz w:val="20"/>
                <w:szCs w:val="20"/>
              </w:rPr>
              <w:t>56</w:t>
            </w:r>
          </w:p>
        </w:tc>
        <w:tc>
          <w:tcPr>
            <w:tcW w:w="11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03976E6" w14:textId="77777777" w:rsidR="00E92CE4" w:rsidRDefault="00000000">
            <w:pPr>
              <w:jc w:val="center"/>
            </w:pPr>
            <w:r>
              <w:rPr>
                <w:sz w:val="20"/>
                <w:szCs w:val="20"/>
              </w:rPr>
              <w:t>8.6%</w:t>
            </w:r>
          </w:p>
        </w:tc>
        <w:tc>
          <w:tcPr>
            <w:tcW w:w="158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7933A08" w14:textId="77777777" w:rsidR="00E92CE4" w:rsidRDefault="00000000">
            <w:pPr>
              <w:jc w:val="center"/>
            </w:pPr>
            <w:r>
              <w:rPr>
                <w:sz w:val="20"/>
                <w:szCs w:val="20"/>
              </w:rPr>
              <w:t>-64</w:t>
            </w:r>
          </w:p>
        </w:tc>
        <w:tc>
          <w:tcPr>
            <w:tcW w:w="148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62634FF" w14:textId="77777777" w:rsidR="00E92CE4" w:rsidRDefault="00000000">
            <w:pPr>
              <w:jc w:val="center"/>
            </w:pPr>
            <w:r>
              <w:rPr>
                <w:sz w:val="20"/>
                <w:szCs w:val="20"/>
              </w:rPr>
              <w:t>-9.0%</w:t>
            </w:r>
          </w:p>
        </w:tc>
      </w:tr>
      <w:tr w:rsidR="00E92CE4" w14:paraId="3371F923"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49A78D5E" w14:textId="77777777" w:rsidR="00E92CE4" w:rsidRDefault="00000000">
            <w:r>
              <w:rPr>
                <w:sz w:val="20"/>
                <w:szCs w:val="20"/>
              </w:rPr>
              <w:t>2026 YTD†</w:t>
            </w:r>
          </w:p>
        </w:tc>
        <w:tc>
          <w:tcPr>
            <w:tcW w:w="15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3BE7198E" w14:textId="77777777" w:rsidR="00E92CE4" w:rsidRDefault="00000000">
            <w:pPr>
              <w:jc w:val="center"/>
            </w:pPr>
            <w:r>
              <w:rPr>
                <w:b/>
                <w:bCs/>
                <w:sz w:val="20"/>
                <w:szCs w:val="20"/>
              </w:rPr>
              <w:t>518</w:t>
            </w:r>
          </w:p>
        </w:tc>
        <w:tc>
          <w:tcPr>
            <w:tcW w:w="11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2BCC1E3A" w14:textId="77777777" w:rsidR="00E92CE4" w:rsidRDefault="00000000">
            <w:pPr>
              <w:jc w:val="center"/>
            </w:pPr>
            <w:r>
              <w:rPr>
                <w:sz w:val="20"/>
                <w:szCs w:val="20"/>
              </w:rPr>
              <w:t>477</w:t>
            </w:r>
          </w:p>
        </w:tc>
        <w:tc>
          <w:tcPr>
            <w:tcW w:w="11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50B04F0B" w14:textId="77777777" w:rsidR="00E92CE4" w:rsidRDefault="00000000">
            <w:pPr>
              <w:jc w:val="center"/>
            </w:pPr>
            <w:r>
              <w:rPr>
                <w:sz w:val="20"/>
                <w:szCs w:val="20"/>
              </w:rPr>
              <w:t>41</w:t>
            </w:r>
          </w:p>
        </w:tc>
        <w:tc>
          <w:tcPr>
            <w:tcW w:w="11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16D526C6" w14:textId="77777777" w:rsidR="00E92CE4" w:rsidRDefault="00000000">
            <w:pPr>
              <w:jc w:val="center"/>
            </w:pPr>
            <w:r>
              <w:rPr>
                <w:sz w:val="20"/>
                <w:szCs w:val="20"/>
              </w:rPr>
              <w:t>7.9%</w:t>
            </w:r>
          </w:p>
        </w:tc>
        <w:tc>
          <w:tcPr>
            <w:tcW w:w="158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0A3D423D" w14:textId="77777777" w:rsidR="00E92CE4" w:rsidRDefault="00000000">
            <w:pPr>
              <w:jc w:val="center"/>
            </w:pPr>
            <w:r>
              <w:rPr>
                <w:sz w:val="20"/>
                <w:szCs w:val="20"/>
              </w:rPr>
              <w:t>-133</w:t>
            </w:r>
          </w:p>
        </w:tc>
        <w:tc>
          <w:tcPr>
            <w:tcW w:w="148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6B22DC80" w14:textId="77777777" w:rsidR="00E92CE4" w:rsidRDefault="00000000">
            <w:pPr>
              <w:jc w:val="center"/>
            </w:pPr>
            <w:r>
              <w:rPr>
                <w:sz w:val="20"/>
                <w:szCs w:val="20"/>
              </w:rPr>
              <w:t>-20.4%</w:t>
            </w:r>
          </w:p>
        </w:tc>
      </w:tr>
    </w:tbl>
    <w:p w14:paraId="366F7714" w14:textId="77777777" w:rsidR="00E92CE4" w:rsidRDefault="00E92CE4">
      <w:pPr>
        <w:spacing w:after="80"/>
      </w:pPr>
    </w:p>
    <w:p w14:paraId="6D37F90E" w14:textId="77777777" w:rsidR="00E92CE4" w:rsidRDefault="00000000">
      <w:pPr>
        <w:spacing w:after="160"/>
      </w:pPr>
      <w:r>
        <w:rPr>
          <w:i/>
          <w:iCs/>
        </w:rPr>
        <w:t xml:space="preserve">† The 2026 figure is a year-to-date snapshot as of April 6, </w:t>
      </w:r>
      <w:proofErr w:type="gramStart"/>
      <w:r>
        <w:rPr>
          <w:i/>
          <w:iCs/>
        </w:rPr>
        <w:t>2026</w:t>
      </w:r>
      <w:proofErr w:type="gramEnd"/>
      <w:r>
        <w:rPr>
          <w:i/>
          <w:iCs/>
        </w:rPr>
        <w:t xml:space="preserve"> and reflects participation registered in the OLR system as of that date. It is compared to the April 2025 snapshot (also 651) for a like-for-like YOY comparison. Spring recruitment activities ongoing at the time of this report may add youth to the 2026 total as the year progresses. Orange shading indicates a YOY decline greater than 50 youth.</w:t>
      </w:r>
    </w:p>
    <w:p w14:paraId="175A702B" w14:textId="77777777" w:rsidR="00E92CE4" w:rsidRDefault="00E92CE4">
      <w:pPr>
        <w:spacing w:after="80"/>
      </w:pPr>
    </w:p>
    <w:p w14:paraId="038DF29F" w14:textId="77777777" w:rsidR="00E92CE4" w:rsidRDefault="00000000">
      <w:pPr>
        <w:spacing w:after="160"/>
      </w:pPr>
      <w:r>
        <w:t>The 2024–2025 decline of 64 youth (-9.0%) was meaningful but within the range of typical enrollment fluctuation in a district experiencing unit closures. The 2025–2026 decline of 133 youth (-20.4%) at the same point in the calendar year is more alarming — it is more than double the prior-year rate and represents the net effect of multiple unit closures (Troops 1103, 1031, 9191, 9280) combined with declining pack enrollment in several units.</w:t>
      </w:r>
    </w:p>
    <w:p w14:paraId="77A17ECC" w14:textId="77777777" w:rsidR="00E92CE4" w:rsidRDefault="00E92CE4">
      <w:pPr>
        <w:spacing w:after="80"/>
      </w:pPr>
    </w:p>
    <w:p w14:paraId="098A4B6D" w14:textId="77777777" w:rsidR="00E92CE4" w:rsidRDefault="00000000">
      <w:pPr>
        <w:spacing w:after="160"/>
      </w:pPr>
      <w:r>
        <w:t xml:space="preserve">The </w:t>
      </w:r>
      <w:r>
        <w:rPr>
          <w:b/>
          <w:bCs/>
        </w:rPr>
        <w:t>female share of TYS has remained essentially flat</w:t>
      </w:r>
      <w:r>
        <w:t xml:space="preserve"> at 8.6% in 2025 and 7.9% in 2026 YTD. The three closed girls’ troops collectively served approximately 20–25 female youth at their peak, and their closure has not been offset by growth in Troop 1305 (G). With only one active girls’ Scouts BSA unit remaining in the district, the female TYS figure is structurally constrained until new girls’ program options are established.</w:t>
      </w:r>
    </w:p>
    <w:p w14:paraId="197C5D0E" w14:textId="77777777" w:rsidR="00E92CE4" w:rsidRDefault="00E92CE4">
      <w:pPr>
        <w:spacing w:after="80"/>
      </w:pPr>
    </w:p>
    <w:p w14:paraId="530AAE5D" w14:textId="77777777" w:rsidR="00E92CE4" w:rsidRDefault="00000000">
      <w:pPr>
        <w:pStyle w:val="Heading1"/>
      </w:pPr>
      <w:r>
        <w:rPr>
          <w:sz w:val="32"/>
          <w:szCs w:val="32"/>
        </w:rPr>
        <w:t>Geographic Distribution of Youth Served by ZIP Code</w:t>
      </w:r>
    </w:p>
    <w:p w14:paraId="5BCFFC2D" w14:textId="77777777" w:rsidR="00E92CE4" w:rsidRDefault="00000000">
      <w:pPr>
        <w:spacing w:after="160"/>
      </w:pPr>
      <w:r>
        <w:lastRenderedPageBreak/>
        <w:t>The TYS report captures participants by ZIP code of residence, providing a geographic view of where the district’s Scouting reach is strongest and where it is contracting. The table below covers all eight ZIP codes with recorded participation across the three-year period. Green shading indicates a ZIP where 2026 YTD is stable or growing year-over-year; orange indicates a drop of 20 or more youth from the prior year.</w:t>
      </w:r>
    </w:p>
    <w:p w14:paraId="550A34BF" w14:textId="77777777" w:rsidR="00E92CE4" w:rsidRDefault="00E92CE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080"/>
        <w:gridCol w:w="1080"/>
        <w:gridCol w:w="1080"/>
        <w:gridCol w:w="1080"/>
        <w:gridCol w:w="1080"/>
        <w:gridCol w:w="960"/>
      </w:tblGrid>
      <w:tr w:rsidR="00E92CE4" w14:paraId="531CD1D2"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3965A88" w14:textId="77777777" w:rsidR="00E92CE4" w:rsidRDefault="00000000">
            <w:pPr>
              <w:jc w:val="center"/>
            </w:pPr>
            <w:r>
              <w:rPr>
                <w:b/>
                <w:bCs/>
                <w:sz w:val="20"/>
                <w:szCs w:val="20"/>
              </w:rPr>
              <w:t>ZIP — Community</w:t>
            </w:r>
          </w:p>
        </w:tc>
        <w:tc>
          <w:tcPr>
            <w:tcW w:w="10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A1BD066" w14:textId="77777777" w:rsidR="00E92CE4" w:rsidRDefault="00000000">
            <w:pPr>
              <w:jc w:val="center"/>
            </w:pPr>
            <w:r>
              <w:rPr>
                <w:b/>
                <w:bCs/>
                <w:sz w:val="20"/>
                <w:szCs w:val="20"/>
              </w:rPr>
              <w:t>2024</w:t>
            </w:r>
          </w:p>
        </w:tc>
        <w:tc>
          <w:tcPr>
            <w:tcW w:w="10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816AD59" w14:textId="77777777" w:rsidR="00E92CE4" w:rsidRDefault="00000000">
            <w:pPr>
              <w:jc w:val="center"/>
            </w:pPr>
            <w:r>
              <w:rPr>
                <w:b/>
                <w:bCs/>
                <w:sz w:val="20"/>
                <w:szCs w:val="20"/>
              </w:rPr>
              <w:t>2025</w:t>
            </w:r>
          </w:p>
        </w:tc>
        <w:tc>
          <w:tcPr>
            <w:tcW w:w="10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905166E" w14:textId="77777777" w:rsidR="00E92CE4" w:rsidRDefault="00000000">
            <w:pPr>
              <w:jc w:val="center"/>
            </w:pPr>
            <w:r>
              <w:rPr>
                <w:b/>
                <w:bCs/>
                <w:sz w:val="20"/>
                <w:szCs w:val="20"/>
              </w:rPr>
              <w:t>2026 YTD</w:t>
            </w:r>
          </w:p>
        </w:tc>
        <w:tc>
          <w:tcPr>
            <w:tcW w:w="10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33A77C4" w14:textId="77777777" w:rsidR="00E92CE4" w:rsidRDefault="00000000">
            <w:pPr>
              <w:jc w:val="center"/>
            </w:pPr>
            <w:r>
              <w:rPr>
                <w:b/>
                <w:bCs/>
                <w:sz w:val="20"/>
                <w:szCs w:val="20"/>
              </w:rPr>
              <w:t xml:space="preserve">24–25 </w:t>
            </w:r>
            <w:proofErr w:type="spellStart"/>
            <w:r>
              <w:rPr>
                <w:b/>
                <w:bCs/>
                <w:sz w:val="20"/>
                <w:szCs w:val="20"/>
              </w:rPr>
              <w:t>Chg</w:t>
            </w:r>
            <w:proofErr w:type="spellEnd"/>
          </w:p>
        </w:tc>
        <w:tc>
          <w:tcPr>
            <w:tcW w:w="10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5117326" w14:textId="77777777" w:rsidR="00E92CE4" w:rsidRDefault="00000000">
            <w:pPr>
              <w:jc w:val="center"/>
            </w:pPr>
            <w:r>
              <w:rPr>
                <w:b/>
                <w:bCs/>
                <w:sz w:val="20"/>
                <w:szCs w:val="20"/>
              </w:rPr>
              <w:t xml:space="preserve">25–26 </w:t>
            </w:r>
            <w:proofErr w:type="spellStart"/>
            <w:r>
              <w:rPr>
                <w:b/>
                <w:bCs/>
                <w:sz w:val="20"/>
                <w:szCs w:val="20"/>
              </w:rPr>
              <w:t>Chg</w:t>
            </w:r>
            <w:proofErr w:type="spellEnd"/>
          </w:p>
        </w:tc>
        <w:tc>
          <w:tcPr>
            <w:tcW w:w="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97B1D39" w14:textId="77777777" w:rsidR="00E92CE4" w:rsidRDefault="00000000">
            <w:pPr>
              <w:jc w:val="center"/>
            </w:pPr>
            <w:r>
              <w:rPr>
                <w:b/>
                <w:bCs/>
                <w:sz w:val="20"/>
                <w:szCs w:val="20"/>
              </w:rPr>
              <w:t>2025 Share</w:t>
            </w:r>
          </w:p>
        </w:tc>
      </w:tr>
      <w:tr w:rsidR="00E92CE4" w14:paraId="6F15082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AA5563" w14:textId="77777777" w:rsidR="00E92CE4" w:rsidRDefault="00000000">
            <w:r>
              <w:rPr>
                <w:sz w:val="20"/>
                <w:szCs w:val="20"/>
              </w:rPr>
              <w:t>15317 — Canonsburg / Peters Twp</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9A6041" w14:textId="77777777" w:rsidR="00E92CE4" w:rsidRDefault="00000000">
            <w:pPr>
              <w:jc w:val="center"/>
            </w:pPr>
            <w:r>
              <w:rPr>
                <w:sz w:val="20"/>
                <w:szCs w:val="20"/>
              </w:rPr>
              <w:t>303</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6B5450" w14:textId="77777777" w:rsidR="00E92CE4" w:rsidRDefault="00000000">
            <w:pPr>
              <w:jc w:val="center"/>
            </w:pPr>
            <w:r>
              <w:rPr>
                <w:sz w:val="20"/>
                <w:szCs w:val="20"/>
              </w:rPr>
              <w:t>278</w:t>
            </w:r>
          </w:p>
        </w:tc>
        <w:tc>
          <w:tcPr>
            <w:tcW w:w="108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18E4B78" w14:textId="77777777" w:rsidR="00E92CE4" w:rsidRDefault="00000000">
            <w:pPr>
              <w:jc w:val="center"/>
            </w:pPr>
            <w:r>
              <w:rPr>
                <w:sz w:val="20"/>
                <w:szCs w:val="20"/>
              </w:rPr>
              <w:t>234</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F1FC3B" w14:textId="77777777" w:rsidR="00E92CE4" w:rsidRDefault="00000000">
            <w:pPr>
              <w:jc w:val="center"/>
            </w:pPr>
            <w:r>
              <w:rPr>
                <w:sz w:val="20"/>
                <w:szCs w:val="20"/>
              </w:rPr>
              <w:t>-25</w:t>
            </w:r>
          </w:p>
        </w:tc>
        <w:tc>
          <w:tcPr>
            <w:tcW w:w="108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06641C4" w14:textId="77777777" w:rsidR="00E92CE4" w:rsidRDefault="00000000">
            <w:pPr>
              <w:jc w:val="center"/>
            </w:pPr>
            <w:r>
              <w:rPr>
                <w:b/>
                <w:bCs/>
                <w:sz w:val="20"/>
                <w:szCs w:val="20"/>
              </w:rPr>
              <w:t>-44</w:t>
            </w:r>
          </w:p>
        </w:tc>
        <w:tc>
          <w:tcPr>
            <w:tcW w:w="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F5F06B" w14:textId="77777777" w:rsidR="00E92CE4" w:rsidRDefault="00000000">
            <w:pPr>
              <w:jc w:val="center"/>
            </w:pPr>
            <w:r>
              <w:rPr>
                <w:sz w:val="20"/>
                <w:szCs w:val="20"/>
              </w:rPr>
              <w:t>42.7%</w:t>
            </w:r>
          </w:p>
        </w:tc>
      </w:tr>
      <w:tr w:rsidR="00E92CE4" w14:paraId="2D45478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E65407" w14:textId="77777777" w:rsidR="00E92CE4" w:rsidRDefault="00000000">
            <w:r>
              <w:rPr>
                <w:sz w:val="20"/>
                <w:szCs w:val="20"/>
              </w:rPr>
              <w:t>15301 — Washington</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324943" w14:textId="77777777" w:rsidR="00E92CE4" w:rsidRDefault="00000000">
            <w:pPr>
              <w:jc w:val="center"/>
            </w:pPr>
            <w:r>
              <w:rPr>
                <w:sz w:val="20"/>
                <w:szCs w:val="20"/>
              </w:rPr>
              <w:t>150</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317C70" w14:textId="77777777" w:rsidR="00E92CE4" w:rsidRDefault="00000000">
            <w:pPr>
              <w:jc w:val="center"/>
            </w:pPr>
            <w:r>
              <w:rPr>
                <w:sz w:val="20"/>
                <w:szCs w:val="20"/>
              </w:rPr>
              <w:t>145</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7F9A25" w14:textId="77777777" w:rsidR="00E92CE4" w:rsidRDefault="00000000">
            <w:pPr>
              <w:jc w:val="center"/>
            </w:pPr>
            <w:r>
              <w:rPr>
                <w:sz w:val="20"/>
                <w:szCs w:val="20"/>
              </w:rPr>
              <w:t>126</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4965E4" w14:textId="77777777" w:rsidR="00E92CE4" w:rsidRDefault="00000000">
            <w:pPr>
              <w:jc w:val="center"/>
            </w:pPr>
            <w:r>
              <w:rPr>
                <w:sz w:val="20"/>
                <w:szCs w:val="20"/>
              </w:rPr>
              <w:t>-5</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D6BD9D" w14:textId="77777777" w:rsidR="00E92CE4" w:rsidRDefault="00000000">
            <w:pPr>
              <w:jc w:val="center"/>
            </w:pPr>
            <w:r>
              <w:rPr>
                <w:b/>
                <w:bCs/>
                <w:sz w:val="20"/>
                <w:szCs w:val="20"/>
              </w:rPr>
              <w:t>-19</w:t>
            </w:r>
          </w:p>
        </w:tc>
        <w:tc>
          <w:tcPr>
            <w:tcW w:w="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34E515" w14:textId="77777777" w:rsidR="00E92CE4" w:rsidRDefault="00000000">
            <w:pPr>
              <w:jc w:val="center"/>
            </w:pPr>
            <w:r>
              <w:rPr>
                <w:sz w:val="20"/>
                <w:szCs w:val="20"/>
              </w:rPr>
              <w:t>22.3%</w:t>
            </w:r>
          </w:p>
        </w:tc>
      </w:tr>
      <w:tr w:rsidR="00E92CE4" w14:paraId="78EFF99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D6956F" w14:textId="77777777" w:rsidR="00E92CE4" w:rsidRDefault="00000000">
            <w:r>
              <w:rPr>
                <w:sz w:val="20"/>
                <w:szCs w:val="20"/>
              </w:rPr>
              <w:t>15321 — Cecil Township</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F996B" w14:textId="77777777" w:rsidR="00E92CE4" w:rsidRDefault="00000000">
            <w:pPr>
              <w:jc w:val="center"/>
            </w:pPr>
            <w:r>
              <w:rPr>
                <w:sz w:val="20"/>
                <w:szCs w:val="20"/>
              </w:rPr>
              <w:t>50</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1D6C65" w14:textId="77777777" w:rsidR="00E92CE4" w:rsidRDefault="00000000">
            <w:pPr>
              <w:jc w:val="center"/>
            </w:pPr>
            <w:r>
              <w:rPr>
                <w:sz w:val="20"/>
                <w:szCs w:val="20"/>
              </w:rPr>
              <w:t>47</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D44651" w14:textId="77777777" w:rsidR="00E92CE4" w:rsidRDefault="00000000">
            <w:pPr>
              <w:jc w:val="center"/>
            </w:pPr>
            <w:r>
              <w:rPr>
                <w:sz w:val="20"/>
                <w:szCs w:val="20"/>
              </w:rPr>
              <w:t>32</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9A7349" w14:textId="77777777" w:rsidR="00E92CE4" w:rsidRDefault="00000000">
            <w:pPr>
              <w:jc w:val="center"/>
            </w:pPr>
            <w:r>
              <w:rPr>
                <w:sz w:val="20"/>
                <w:szCs w:val="20"/>
              </w:rPr>
              <w:t>-3</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45738A" w14:textId="77777777" w:rsidR="00E92CE4" w:rsidRDefault="00000000">
            <w:pPr>
              <w:jc w:val="center"/>
            </w:pPr>
            <w:r>
              <w:rPr>
                <w:b/>
                <w:bCs/>
                <w:sz w:val="20"/>
                <w:szCs w:val="20"/>
              </w:rPr>
              <w:t>-15</w:t>
            </w:r>
          </w:p>
        </w:tc>
        <w:tc>
          <w:tcPr>
            <w:tcW w:w="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6E3B91" w14:textId="77777777" w:rsidR="00E92CE4" w:rsidRDefault="00000000">
            <w:pPr>
              <w:jc w:val="center"/>
            </w:pPr>
            <w:r>
              <w:rPr>
                <w:sz w:val="20"/>
                <w:szCs w:val="20"/>
              </w:rPr>
              <w:t>7.2%</w:t>
            </w:r>
          </w:p>
        </w:tc>
      </w:tr>
      <w:tr w:rsidR="00E92CE4" w14:paraId="24F1DD2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4841B3" w14:textId="77777777" w:rsidR="00E92CE4" w:rsidRDefault="00000000">
            <w:r>
              <w:rPr>
                <w:sz w:val="20"/>
                <w:szCs w:val="20"/>
              </w:rPr>
              <w:t>15219 — Pittsburgh (East)</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0D29F2" w14:textId="77777777" w:rsidR="00E92CE4" w:rsidRDefault="00000000">
            <w:pPr>
              <w:jc w:val="center"/>
            </w:pPr>
            <w:r>
              <w:rPr>
                <w:sz w:val="20"/>
                <w:szCs w:val="20"/>
              </w:rPr>
              <w:t>63</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0F126A" w14:textId="77777777" w:rsidR="00E92CE4" w:rsidRDefault="00000000">
            <w:pPr>
              <w:jc w:val="center"/>
            </w:pPr>
            <w:r>
              <w:rPr>
                <w:sz w:val="20"/>
                <w:szCs w:val="20"/>
              </w:rPr>
              <w:t>35</w:t>
            </w:r>
          </w:p>
        </w:tc>
        <w:tc>
          <w:tcPr>
            <w:tcW w:w="108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5423CC2" w14:textId="77777777" w:rsidR="00E92CE4" w:rsidRDefault="00000000">
            <w:pPr>
              <w:jc w:val="center"/>
            </w:pPr>
            <w:r>
              <w:rPr>
                <w:sz w:val="20"/>
                <w:szCs w:val="20"/>
              </w:rPr>
              <w:t>13</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21A68F" w14:textId="77777777" w:rsidR="00E92CE4" w:rsidRDefault="00000000">
            <w:pPr>
              <w:jc w:val="center"/>
            </w:pPr>
            <w:r>
              <w:rPr>
                <w:sz w:val="20"/>
                <w:szCs w:val="20"/>
              </w:rPr>
              <w:t>-28</w:t>
            </w:r>
          </w:p>
        </w:tc>
        <w:tc>
          <w:tcPr>
            <w:tcW w:w="108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AFF8BC0" w14:textId="77777777" w:rsidR="00E92CE4" w:rsidRDefault="00000000">
            <w:pPr>
              <w:jc w:val="center"/>
            </w:pPr>
            <w:r>
              <w:rPr>
                <w:b/>
                <w:bCs/>
                <w:sz w:val="20"/>
                <w:szCs w:val="20"/>
              </w:rPr>
              <w:t>-22</w:t>
            </w:r>
          </w:p>
        </w:tc>
        <w:tc>
          <w:tcPr>
            <w:tcW w:w="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A10963" w14:textId="77777777" w:rsidR="00E92CE4" w:rsidRDefault="00000000">
            <w:pPr>
              <w:jc w:val="center"/>
            </w:pPr>
            <w:r>
              <w:rPr>
                <w:sz w:val="20"/>
                <w:szCs w:val="20"/>
              </w:rPr>
              <w:t>5.4%</w:t>
            </w:r>
          </w:p>
        </w:tc>
      </w:tr>
      <w:tr w:rsidR="00E92CE4" w14:paraId="141C3BC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BCFD5F" w14:textId="77777777" w:rsidR="00E92CE4" w:rsidRDefault="00000000">
            <w:r>
              <w:rPr>
                <w:sz w:val="20"/>
                <w:szCs w:val="20"/>
              </w:rPr>
              <w:t>15357 — Fredericktown</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51232C" w14:textId="77777777" w:rsidR="00E92CE4" w:rsidRDefault="00000000">
            <w:pPr>
              <w:jc w:val="center"/>
            </w:pPr>
            <w:r>
              <w:rPr>
                <w:sz w:val="20"/>
                <w:szCs w:val="20"/>
              </w:rPr>
              <w:t>35</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BEF39F" w14:textId="77777777" w:rsidR="00E92CE4" w:rsidRDefault="00000000">
            <w:pPr>
              <w:jc w:val="center"/>
            </w:pPr>
            <w:r>
              <w:rPr>
                <w:sz w:val="20"/>
                <w:szCs w:val="20"/>
              </w:rPr>
              <w:t>37</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51425" w14:textId="77777777" w:rsidR="00E92CE4" w:rsidRDefault="00000000">
            <w:pPr>
              <w:jc w:val="center"/>
            </w:pPr>
            <w:r>
              <w:rPr>
                <w:sz w:val="20"/>
                <w:szCs w:val="20"/>
              </w:rPr>
              <w:t>34</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32B32D" w14:textId="77777777" w:rsidR="00E92CE4" w:rsidRDefault="00000000">
            <w:pPr>
              <w:jc w:val="center"/>
            </w:pPr>
            <w:r>
              <w:rPr>
                <w:sz w:val="20"/>
                <w:szCs w:val="20"/>
              </w:rPr>
              <w:t>+2</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106FC2" w14:textId="77777777" w:rsidR="00E92CE4" w:rsidRDefault="00000000">
            <w:pPr>
              <w:jc w:val="center"/>
            </w:pPr>
            <w:r>
              <w:rPr>
                <w:b/>
                <w:bCs/>
                <w:sz w:val="20"/>
                <w:szCs w:val="20"/>
              </w:rPr>
              <w:t>-3</w:t>
            </w:r>
          </w:p>
        </w:tc>
        <w:tc>
          <w:tcPr>
            <w:tcW w:w="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9C37F9" w14:textId="77777777" w:rsidR="00E92CE4" w:rsidRDefault="00000000">
            <w:pPr>
              <w:jc w:val="center"/>
            </w:pPr>
            <w:r>
              <w:rPr>
                <w:sz w:val="20"/>
                <w:szCs w:val="20"/>
              </w:rPr>
              <w:t>5.7%</w:t>
            </w:r>
          </w:p>
        </w:tc>
      </w:tr>
      <w:tr w:rsidR="00E92CE4" w14:paraId="0B7FA49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2DFF7C" w14:textId="77777777" w:rsidR="00E92CE4" w:rsidRDefault="00000000">
            <w:r>
              <w:rPr>
                <w:sz w:val="20"/>
                <w:szCs w:val="20"/>
              </w:rPr>
              <w:t>15021 — Burgettstown</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AF08BE" w14:textId="77777777" w:rsidR="00E92CE4" w:rsidRDefault="00000000">
            <w:pPr>
              <w:jc w:val="center"/>
            </w:pPr>
            <w:r>
              <w:rPr>
                <w:sz w:val="20"/>
                <w:szCs w:val="20"/>
              </w:rPr>
              <w:t>55</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EF52EA" w14:textId="77777777" w:rsidR="00E92CE4" w:rsidRDefault="00000000">
            <w:pPr>
              <w:jc w:val="center"/>
            </w:pPr>
            <w:r>
              <w:rPr>
                <w:sz w:val="20"/>
                <w:szCs w:val="20"/>
              </w:rPr>
              <w:t>61</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4CB872" w14:textId="77777777" w:rsidR="00E92CE4" w:rsidRDefault="00000000">
            <w:pPr>
              <w:jc w:val="center"/>
            </w:pPr>
            <w:r>
              <w:rPr>
                <w:sz w:val="20"/>
                <w:szCs w:val="20"/>
              </w:rPr>
              <w:t>43</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4CB44C" w14:textId="77777777" w:rsidR="00E92CE4" w:rsidRDefault="00000000">
            <w:pPr>
              <w:jc w:val="center"/>
            </w:pPr>
            <w:r>
              <w:rPr>
                <w:sz w:val="20"/>
                <w:szCs w:val="20"/>
              </w:rPr>
              <w:t>+6</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AD9B02" w14:textId="77777777" w:rsidR="00E92CE4" w:rsidRDefault="00000000">
            <w:pPr>
              <w:jc w:val="center"/>
            </w:pPr>
            <w:r>
              <w:rPr>
                <w:b/>
                <w:bCs/>
                <w:sz w:val="20"/>
                <w:szCs w:val="20"/>
              </w:rPr>
              <w:t>-18</w:t>
            </w:r>
          </w:p>
        </w:tc>
        <w:tc>
          <w:tcPr>
            <w:tcW w:w="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205591" w14:textId="77777777" w:rsidR="00E92CE4" w:rsidRDefault="00000000">
            <w:pPr>
              <w:jc w:val="center"/>
            </w:pPr>
            <w:r>
              <w:rPr>
                <w:sz w:val="20"/>
                <w:szCs w:val="20"/>
              </w:rPr>
              <w:t>9.4%</w:t>
            </w:r>
          </w:p>
        </w:tc>
      </w:tr>
      <w:tr w:rsidR="00E92CE4" w14:paraId="1A32726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D9497C" w14:textId="77777777" w:rsidR="00E92CE4" w:rsidRDefault="00000000">
            <w:r>
              <w:rPr>
                <w:sz w:val="20"/>
                <w:szCs w:val="20"/>
              </w:rPr>
              <w:t>15340 — Hickory</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E4E8B9" w14:textId="77777777" w:rsidR="00E92CE4" w:rsidRDefault="00000000">
            <w:pPr>
              <w:jc w:val="center"/>
            </w:pPr>
            <w:r>
              <w:rPr>
                <w:sz w:val="20"/>
                <w:szCs w:val="20"/>
              </w:rPr>
              <w:t>42</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C0D068" w14:textId="77777777" w:rsidR="00E92CE4" w:rsidRDefault="00000000">
            <w:pPr>
              <w:jc w:val="center"/>
            </w:pPr>
            <w:r>
              <w:rPr>
                <w:sz w:val="20"/>
                <w:szCs w:val="20"/>
              </w:rPr>
              <w:t>29</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07FF65" w14:textId="77777777" w:rsidR="00E92CE4" w:rsidRDefault="00000000">
            <w:pPr>
              <w:jc w:val="center"/>
            </w:pPr>
            <w:r>
              <w:rPr>
                <w:sz w:val="20"/>
                <w:szCs w:val="20"/>
              </w:rPr>
              <w:t>19</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DDA8D3" w14:textId="77777777" w:rsidR="00E92CE4" w:rsidRDefault="00000000">
            <w:pPr>
              <w:jc w:val="center"/>
            </w:pPr>
            <w:r>
              <w:rPr>
                <w:sz w:val="20"/>
                <w:szCs w:val="20"/>
              </w:rPr>
              <w:t>-13</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A2660B" w14:textId="77777777" w:rsidR="00E92CE4" w:rsidRDefault="00000000">
            <w:pPr>
              <w:jc w:val="center"/>
            </w:pPr>
            <w:r>
              <w:rPr>
                <w:b/>
                <w:bCs/>
                <w:sz w:val="20"/>
                <w:szCs w:val="20"/>
              </w:rPr>
              <w:t>-10</w:t>
            </w:r>
          </w:p>
        </w:tc>
        <w:tc>
          <w:tcPr>
            <w:tcW w:w="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318119" w14:textId="77777777" w:rsidR="00E92CE4" w:rsidRDefault="00000000">
            <w:pPr>
              <w:jc w:val="center"/>
            </w:pPr>
            <w:r>
              <w:rPr>
                <w:sz w:val="20"/>
                <w:szCs w:val="20"/>
              </w:rPr>
              <w:t>4.5%</w:t>
            </w:r>
          </w:p>
        </w:tc>
      </w:tr>
      <w:tr w:rsidR="00E92CE4" w14:paraId="7F75666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5B967D" w14:textId="77777777" w:rsidR="00E92CE4" w:rsidRDefault="00000000">
            <w:r>
              <w:rPr>
                <w:sz w:val="20"/>
                <w:szCs w:val="20"/>
              </w:rPr>
              <w:t>15370 — Waynesburg / Greene County</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A8EE50" w14:textId="77777777" w:rsidR="00E92CE4" w:rsidRDefault="00000000">
            <w:pPr>
              <w:jc w:val="center"/>
            </w:pPr>
            <w:r>
              <w:rPr>
                <w:sz w:val="20"/>
                <w:szCs w:val="20"/>
              </w:rPr>
              <w:t>17</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CB2FAD" w14:textId="77777777" w:rsidR="00E92CE4" w:rsidRDefault="00000000">
            <w:pPr>
              <w:jc w:val="center"/>
            </w:pPr>
            <w:r>
              <w:rPr>
                <w:sz w:val="20"/>
                <w:szCs w:val="20"/>
              </w:rPr>
              <w:t>19</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F0FE07" w14:textId="77777777" w:rsidR="00E92CE4" w:rsidRDefault="00000000">
            <w:pPr>
              <w:jc w:val="center"/>
            </w:pPr>
            <w:r>
              <w:rPr>
                <w:sz w:val="20"/>
                <w:szCs w:val="20"/>
              </w:rPr>
              <w:t>17</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4E336C" w14:textId="77777777" w:rsidR="00E92CE4" w:rsidRDefault="00000000">
            <w:pPr>
              <w:jc w:val="center"/>
            </w:pPr>
            <w:r>
              <w:rPr>
                <w:sz w:val="20"/>
                <w:szCs w:val="20"/>
              </w:rPr>
              <w:t>+2</w:t>
            </w:r>
          </w:p>
        </w:tc>
        <w:tc>
          <w:tcPr>
            <w:tcW w:w="1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17B130" w14:textId="77777777" w:rsidR="00E92CE4" w:rsidRDefault="00000000">
            <w:pPr>
              <w:jc w:val="center"/>
            </w:pPr>
            <w:r>
              <w:rPr>
                <w:b/>
                <w:bCs/>
                <w:sz w:val="20"/>
                <w:szCs w:val="20"/>
              </w:rPr>
              <w:t>-2</w:t>
            </w:r>
          </w:p>
        </w:tc>
        <w:tc>
          <w:tcPr>
            <w:tcW w:w="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F5817C" w14:textId="77777777" w:rsidR="00E92CE4" w:rsidRDefault="00000000">
            <w:pPr>
              <w:jc w:val="center"/>
            </w:pPr>
            <w:r>
              <w:rPr>
                <w:sz w:val="20"/>
                <w:szCs w:val="20"/>
              </w:rPr>
              <w:t>2.9%</w:t>
            </w:r>
          </w:p>
        </w:tc>
      </w:tr>
      <w:tr w:rsidR="00E92CE4" w14:paraId="1E37CA9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55E6A75B" w14:textId="77777777" w:rsidR="00E92CE4" w:rsidRDefault="00000000">
            <w:pPr>
              <w:jc w:val="center"/>
            </w:pPr>
            <w:r>
              <w:rPr>
                <w:b/>
                <w:bCs/>
                <w:sz w:val="20"/>
                <w:szCs w:val="20"/>
              </w:rPr>
              <w:t>District Total</w:t>
            </w:r>
          </w:p>
        </w:tc>
        <w:tc>
          <w:tcPr>
            <w:tcW w:w="108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0CAF2667" w14:textId="77777777" w:rsidR="00E92CE4" w:rsidRDefault="00000000">
            <w:pPr>
              <w:jc w:val="center"/>
            </w:pPr>
            <w:r>
              <w:rPr>
                <w:b/>
                <w:bCs/>
                <w:sz w:val="20"/>
                <w:szCs w:val="20"/>
              </w:rPr>
              <w:t>715</w:t>
            </w:r>
          </w:p>
        </w:tc>
        <w:tc>
          <w:tcPr>
            <w:tcW w:w="108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3660F6D0" w14:textId="77777777" w:rsidR="00E92CE4" w:rsidRDefault="00000000">
            <w:pPr>
              <w:jc w:val="center"/>
            </w:pPr>
            <w:r>
              <w:rPr>
                <w:b/>
                <w:bCs/>
                <w:sz w:val="20"/>
                <w:szCs w:val="20"/>
              </w:rPr>
              <w:t>651</w:t>
            </w:r>
          </w:p>
        </w:tc>
        <w:tc>
          <w:tcPr>
            <w:tcW w:w="108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40E968A6" w14:textId="77777777" w:rsidR="00E92CE4" w:rsidRDefault="00000000">
            <w:pPr>
              <w:jc w:val="center"/>
            </w:pPr>
            <w:r>
              <w:rPr>
                <w:b/>
                <w:bCs/>
                <w:sz w:val="20"/>
                <w:szCs w:val="20"/>
              </w:rPr>
              <w:t>518</w:t>
            </w:r>
          </w:p>
        </w:tc>
        <w:tc>
          <w:tcPr>
            <w:tcW w:w="108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55606F09" w14:textId="77777777" w:rsidR="00E92CE4" w:rsidRDefault="00000000">
            <w:pPr>
              <w:jc w:val="center"/>
            </w:pPr>
            <w:r>
              <w:rPr>
                <w:b/>
                <w:bCs/>
                <w:sz w:val="20"/>
                <w:szCs w:val="20"/>
              </w:rPr>
              <w:t>-64</w:t>
            </w:r>
          </w:p>
        </w:tc>
        <w:tc>
          <w:tcPr>
            <w:tcW w:w="108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6F909817" w14:textId="77777777" w:rsidR="00E92CE4" w:rsidRDefault="00000000">
            <w:pPr>
              <w:jc w:val="center"/>
            </w:pPr>
            <w:r>
              <w:rPr>
                <w:b/>
                <w:bCs/>
                <w:sz w:val="20"/>
                <w:szCs w:val="20"/>
              </w:rPr>
              <w:t>-133</w:t>
            </w:r>
          </w:p>
        </w:tc>
        <w:tc>
          <w:tcPr>
            <w:tcW w:w="9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192792CF" w14:textId="77777777" w:rsidR="00E92CE4" w:rsidRDefault="00000000">
            <w:pPr>
              <w:jc w:val="center"/>
            </w:pPr>
            <w:r>
              <w:rPr>
                <w:b/>
                <w:bCs/>
                <w:sz w:val="20"/>
                <w:szCs w:val="20"/>
              </w:rPr>
              <w:t>100%</w:t>
            </w:r>
          </w:p>
        </w:tc>
      </w:tr>
    </w:tbl>
    <w:p w14:paraId="5D64EACF" w14:textId="77777777" w:rsidR="00E92CE4" w:rsidRDefault="00E92CE4">
      <w:pPr>
        <w:spacing w:after="80"/>
      </w:pPr>
    </w:p>
    <w:p w14:paraId="0390F81F" w14:textId="77777777" w:rsidR="00E92CE4" w:rsidRDefault="00000000">
      <w:pPr>
        <w:spacing w:after="160"/>
      </w:pPr>
      <w:r>
        <w:rPr>
          <w:i/>
          <w:iCs/>
        </w:rPr>
        <w:t>ZIP code data is based on home address of registered youth. 2026 YTD change is calculated against the April 2025 snapshot (651 total). Share of 2025 reflects each ZIP's proportion of the full 2025 district total.</w:t>
      </w:r>
    </w:p>
    <w:p w14:paraId="6B8B6678" w14:textId="77777777" w:rsidR="00E92CE4" w:rsidRDefault="00E92CE4">
      <w:pPr>
        <w:spacing w:after="80"/>
      </w:pPr>
    </w:p>
    <w:p w14:paraId="5DE7060C" w14:textId="77777777" w:rsidR="00E92CE4" w:rsidRDefault="00000000">
      <w:pPr>
        <w:pStyle w:val="Heading2"/>
      </w:pPr>
      <w:r>
        <w:t>15317 — Canonsburg / Peters Township</w:t>
      </w:r>
    </w:p>
    <w:p w14:paraId="02DFEF54" w14:textId="77777777" w:rsidR="00E92CE4" w:rsidRDefault="00000000">
      <w:pPr>
        <w:spacing w:after="160"/>
      </w:pPr>
      <w:r>
        <w:t xml:space="preserve">With </w:t>
      </w:r>
      <w:r>
        <w:rPr>
          <w:b/>
          <w:bCs/>
        </w:rPr>
        <w:t>278 youth in 2025 (42.7% of the district)</w:t>
      </w:r>
      <w:r>
        <w:t xml:space="preserve"> and 234 in 2026 YTD, ZIP 15317 is the district’s dominant Scouting community. Pack 1305 (68 youth) and Troop 1313 (31–35 youth) anchor this ZIP, with multiple other packs and troops contributing. A decline of -44 YTD (2025–2026) is significant in absolute terms but represents an 15.8% drop relative to its own base — roughly consistent with the district-wide pattern. The concentration of program strength here is also a risk: structural problems in any 15317 unit have outsized impact on the district total.</w:t>
      </w:r>
    </w:p>
    <w:p w14:paraId="63ED0B62" w14:textId="77777777" w:rsidR="00E92CE4" w:rsidRDefault="00E92CE4">
      <w:pPr>
        <w:spacing w:after="80"/>
      </w:pPr>
    </w:p>
    <w:p w14:paraId="17DA8C58" w14:textId="77777777" w:rsidR="00E92CE4" w:rsidRDefault="00000000">
      <w:pPr>
        <w:pStyle w:val="Heading2"/>
      </w:pPr>
      <w:r>
        <w:t>15301 — Washington</w:t>
      </w:r>
    </w:p>
    <w:p w14:paraId="3646B900" w14:textId="77777777" w:rsidR="00E92CE4" w:rsidRDefault="00000000">
      <w:pPr>
        <w:spacing w:after="160"/>
      </w:pPr>
      <w:r>
        <w:t xml:space="preserve">Washington is the district’s second-largest ZIP by youth served: 150 in 2024, 145 in 2025, 126 in 2026 YTD. The decline is gradual (-5 from 2024–2025, -19 YTD 2025–2026) and tracks the broader district trend without any sharper crisis. Washington has </w:t>
      </w:r>
      <w:r>
        <w:lastRenderedPageBreak/>
        <w:t>historically been well-served by Pack 1017 and the Troops in the 1017 and 1313 family. The moderate continued decline warrants monitoring but does not represent an acute geographic emergency.</w:t>
      </w:r>
    </w:p>
    <w:p w14:paraId="52341535" w14:textId="77777777" w:rsidR="00E92CE4" w:rsidRDefault="00E92CE4">
      <w:pPr>
        <w:spacing w:after="80"/>
      </w:pPr>
    </w:p>
    <w:p w14:paraId="331E74C9" w14:textId="77777777" w:rsidR="00E92CE4" w:rsidRDefault="00000000">
      <w:pPr>
        <w:pStyle w:val="Heading2"/>
      </w:pPr>
      <w:r>
        <w:t>15219 — Pittsburgh (East)</w:t>
      </w:r>
    </w:p>
    <w:p w14:paraId="32731764" w14:textId="77777777" w:rsidR="00E92CE4" w:rsidRDefault="00000000">
      <w:pPr>
        <w:spacing w:after="160"/>
      </w:pPr>
      <w:r>
        <w:t xml:space="preserve">This is the most alarming geographic trend in the dataset. </w:t>
      </w:r>
      <w:r>
        <w:rPr>
          <w:b/>
          <w:bCs/>
        </w:rPr>
        <w:t>ZIP 15219 has lost 79% of its youth served in two years: 63 (2024) → 35 (2025) → 13 (2026 YTD)</w:t>
      </w:r>
      <w:r>
        <w:t>. The 15219 ZIP encompasses Pittsburgh's eastern neighborhoods and was previously served by one or more units that have since closed or relocated their membership. With only 13 youth remaining in the YTD count, Scouting’s footprint in this community has nearly disappeared. This represents both a program loss and a community service gap. Rebuilding in 15219 would require either re-engaging a chartered organization partner or finding new institutional sponsorship for a unit in that geographic area.</w:t>
      </w:r>
    </w:p>
    <w:p w14:paraId="04551F0A" w14:textId="77777777" w:rsidR="00E92CE4" w:rsidRDefault="00E92CE4">
      <w:pPr>
        <w:spacing w:after="80"/>
      </w:pPr>
    </w:p>
    <w:p w14:paraId="50946F97" w14:textId="77777777" w:rsidR="00E92CE4" w:rsidRDefault="00000000">
      <w:pPr>
        <w:pStyle w:val="Heading2"/>
      </w:pPr>
      <w:r>
        <w:t>Outer Districts — Stability at Small Scale</w:t>
      </w:r>
    </w:p>
    <w:p w14:paraId="6989CD18" w14:textId="77777777" w:rsidR="00E92CE4" w:rsidRDefault="00000000">
      <w:pPr>
        <w:spacing w:after="160"/>
      </w:pPr>
      <w:r>
        <w:t>ZIPs 15357 (Fredericktown) and 15370 (Waynesburg/Greene County) have remained relatively stable across all three years — 37 and 19 youth respectively in 2025 — suggesting that smaller, more geographically isolated units in these communities are maintaining their enrollment without the same pressures affecting the district’s more suburban units. These communities depend on single units and are therefore fragile, but current performance is positive. ZIP 15021 (Burgettstown) showed growth from 55 (2024) to 61 (2025) before declining to 43 (2026 YTD), partially attributable to Troop 1305 (G)’s sustained growth in that area.</w:t>
      </w:r>
    </w:p>
    <w:p w14:paraId="668DF85E" w14:textId="77777777" w:rsidR="00E92CE4" w:rsidRDefault="00E92CE4">
      <w:pPr>
        <w:spacing w:after="80"/>
      </w:pPr>
    </w:p>
    <w:p w14:paraId="6F7E2881" w14:textId="77777777" w:rsidR="00E92CE4" w:rsidRDefault="00000000">
      <w:pPr>
        <w:pStyle w:val="Heading1"/>
      </w:pPr>
      <w:r>
        <w:rPr>
          <w:sz w:val="32"/>
          <w:szCs w:val="32"/>
        </w:rPr>
        <w:t>Youth Served by Grade Band and Program Stage</w:t>
      </w:r>
    </w:p>
    <w:p w14:paraId="55E4CE74" w14:textId="77777777" w:rsidR="00E92CE4" w:rsidRDefault="00000000">
      <w:pPr>
        <w:spacing w:after="160"/>
      </w:pPr>
      <w:r>
        <w:t>Breaking TYS down by grade band reveals which segments of the age pipeline are growing, stable, or contracting. Cub Scouting serves grades K–5 (roughly ages 5–11); Scouts BSA serves grades 6–12 (approximately ages 11–18). The health of the lower grade bands directly predicts the district’s ability to sustain BSA enrollment 4–6 years out. Orange shading indicates a year-over-year decline of 25% or more in that band.</w:t>
      </w:r>
    </w:p>
    <w:p w14:paraId="45D12011" w14:textId="77777777" w:rsidR="00E92CE4" w:rsidRDefault="00E92CE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1000"/>
        <w:gridCol w:w="1000"/>
        <w:gridCol w:w="1000"/>
        <w:gridCol w:w="1180"/>
        <w:gridCol w:w="1180"/>
      </w:tblGrid>
      <w:tr w:rsidR="00E92CE4" w14:paraId="3A10E38E"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2C8038C" w14:textId="77777777" w:rsidR="00E92CE4" w:rsidRDefault="00000000">
            <w:pPr>
              <w:jc w:val="center"/>
            </w:pPr>
            <w:r>
              <w:rPr>
                <w:b/>
                <w:bCs/>
                <w:sz w:val="20"/>
                <w:szCs w:val="20"/>
              </w:rPr>
              <w:t>Grade Band</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E3CBD64" w14:textId="77777777" w:rsidR="00E92CE4" w:rsidRDefault="00000000">
            <w:pPr>
              <w:jc w:val="center"/>
            </w:pPr>
            <w:r>
              <w:rPr>
                <w:b/>
                <w:bCs/>
                <w:sz w:val="20"/>
                <w:szCs w:val="20"/>
              </w:rPr>
              <w:t>Program Stage</w:t>
            </w:r>
          </w:p>
        </w:tc>
        <w:tc>
          <w:tcPr>
            <w:tcW w:w="1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B3A93A1" w14:textId="77777777" w:rsidR="00E92CE4" w:rsidRDefault="00000000">
            <w:pPr>
              <w:jc w:val="center"/>
            </w:pPr>
            <w:r>
              <w:rPr>
                <w:b/>
                <w:bCs/>
                <w:sz w:val="20"/>
                <w:szCs w:val="20"/>
              </w:rPr>
              <w:t>2024</w:t>
            </w:r>
          </w:p>
        </w:tc>
        <w:tc>
          <w:tcPr>
            <w:tcW w:w="1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13E39FD" w14:textId="77777777" w:rsidR="00E92CE4" w:rsidRDefault="00000000">
            <w:pPr>
              <w:jc w:val="center"/>
            </w:pPr>
            <w:r>
              <w:rPr>
                <w:b/>
                <w:bCs/>
                <w:sz w:val="20"/>
                <w:szCs w:val="20"/>
              </w:rPr>
              <w:t>2025</w:t>
            </w:r>
          </w:p>
        </w:tc>
        <w:tc>
          <w:tcPr>
            <w:tcW w:w="1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B438916" w14:textId="77777777" w:rsidR="00E92CE4" w:rsidRDefault="00000000">
            <w:pPr>
              <w:jc w:val="center"/>
            </w:pPr>
            <w:r>
              <w:rPr>
                <w:b/>
                <w:bCs/>
                <w:sz w:val="20"/>
                <w:szCs w:val="20"/>
              </w:rPr>
              <w:t>2026 YTD</w:t>
            </w:r>
          </w:p>
        </w:tc>
        <w:tc>
          <w:tcPr>
            <w:tcW w:w="1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8EED33A" w14:textId="77777777" w:rsidR="00E92CE4" w:rsidRDefault="00000000">
            <w:pPr>
              <w:jc w:val="center"/>
            </w:pPr>
            <w:r>
              <w:rPr>
                <w:b/>
                <w:bCs/>
                <w:sz w:val="20"/>
                <w:szCs w:val="20"/>
              </w:rPr>
              <w:t xml:space="preserve">24–25 </w:t>
            </w:r>
            <w:proofErr w:type="spellStart"/>
            <w:r>
              <w:rPr>
                <w:b/>
                <w:bCs/>
                <w:sz w:val="20"/>
                <w:szCs w:val="20"/>
              </w:rPr>
              <w:t>Chg</w:t>
            </w:r>
            <w:proofErr w:type="spellEnd"/>
          </w:p>
        </w:tc>
        <w:tc>
          <w:tcPr>
            <w:tcW w:w="1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D2A47C9" w14:textId="77777777" w:rsidR="00E92CE4" w:rsidRDefault="00000000">
            <w:pPr>
              <w:jc w:val="center"/>
            </w:pPr>
            <w:r>
              <w:rPr>
                <w:b/>
                <w:bCs/>
                <w:sz w:val="20"/>
                <w:szCs w:val="20"/>
              </w:rPr>
              <w:t xml:space="preserve">25–26 </w:t>
            </w:r>
            <w:proofErr w:type="spellStart"/>
            <w:r>
              <w:rPr>
                <w:b/>
                <w:bCs/>
                <w:sz w:val="20"/>
                <w:szCs w:val="20"/>
              </w:rPr>
              <w:t>Chg</w:t>
            </w:r>
            <w:proofErr w:type="spellEnd"/>
          </w:p>
        </w:tc>
      </w:tr>
      <w:tr w:rsidR="00E92CE4" w14:paraId="1B741DA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F689E4" w14:textId="77777777" w:rsidR="00E92CE4" w:rsidRDefault="00000000">
            <w:r>
              <w:rPr>
                <w:sz w:val="20"/>
                <w:szCs w:val="20"/>
              </w:rPr>
              <w:t>Grades K–2 (Ages ~5–8)</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14B85B" w14:textId="77777777" w:rsidR="00E92CE4" w:rsidRDefault="00000000">
            <w:r>
              <w:rPr>
                <w:sz w:val="20"/>
                <w:szCs w:val="20"/>
              </w:rPr>
              <w:t>Cub Scouts (entry pipeline)</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F174AB" w14:textId="77777777" w:rsidR="00E92CE4" w:rsidRDefault="00000000">
            <w:pPr>
              <w:jc w:val="center"/>
            </w:pPr>
            <w:r>
              <w:rPr>
                <w:sz w:val="20"/>
                <w:szCs w:val="20"/>
              </w:rPr>
              <w:t>234</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159678" w14:textId="77777777" w:rsidR="00E92CE4" w:rsidRDefault="00000000">
            <w:pPr>
              <w:jc w:val="center"/>
            </w:pPr>
            <w:r>
              <w:rPr>
                <w:sz w:val="20"/>
                <w:szCs w:val="20"/>
              </w:rPr>
              <w:t>197</w:t>
            </w:r>
          </w:p>
        </w:tc>
        <w:tc>
          <w:tcPr>
            <w:tcW w:w="10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B3A44FA" w14:textId="77777777" w:rsidR="00E92CE4" w:rsidRDefault="00000000">
            <w:pPr>
              <w:jc w:val="center"/>
            </w:pPr>
            <w:r>
              <w:rPr>
                <w:sz w:val="20"/>
                <w:szCs w:val="20"/>
              </w:rPr>
              <w:t>139</w:t>
            </w:r>
          </w:p>
        </w:tc>
        <w:tc>
          <w:tcPr>
            <w:tcW w:w="1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74D3F4" w14:textId="77777777" w:rsidR="00E92CE4" w:rsidRDefault="00000000">
            <w:pPr>
              <w:jc w:val="center"/>
            </w:pPr>
            <w:r>
              <w:rPr>
                <w:sz w:val="20"/>
                <w:szCs w:val="20"/>
              </w:rPr>
              <w:t>-37</w:t>
            </w:r>
          </w:p>
        </w:tc>
        <w:tc>
          <w:tcPr>
            <w:tcW w:w="118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DF42D20" w14:textId="77777777" w:rsidR="00E92CE4" w:rsidRDefault="00000000">
            <w:pPr>
              <w:jc w:val="center"/>
            </w:pPr>
            <w:r>
              <w:rPr>
                <w:b/>
                <w:bCs/>
                <w:sz w:val="20"/>
                <w:szCs w:val="20"/>
              </w:rPr>
              <w:t>-58</w:t>
            </w:r>
          </w:p>
        </w:tc>
      </w:tr>
      <w:tr w:rsidR="00E92CE4" w14:paraId="53164E2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A1B72D" w14:textId="77777777" w:rsidR="00E92CE4" w:rsidRDefault="00000000">
            <w:r>
              <w:rPr>
                <w:sz w:val="20"/>
                <w:szCs w:val="20"/>
              </w:rPr>
              <w:t>Grades 3–5 (Ages ~8–11)</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FD25B1" w14:textId="77777777" w:rsidR="00E92CE4" w:rsidRDefault="00000000">
            <w:r>
              <w:rPr>
                <w:sz w:val="20"/>
                <w:szCs w:val="20"/>
              </w:rPr>
              <w:t>Cub Scouts (Webelos/AOL)</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9BEA2B" w14:textId="77777777" w:rsidR="00E92CE4" w:rsidRDefault="00000000">
            <w:pPr>
              <w:jc w:val="center"/>
            </w:pPr>
            <w:r>
              <w:rPr>
                <w:sz w:val="20"/>
                <w:szCs w:val="20"/>
              </w:rPr>
              <w:t>204</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73388E" w14:textId="77777777" w:rsidR="00E92CE4" w:rsidRDefault="00000000">
            <w:pPr>
              <w:jc w:val="center"/>
            </w:pPr>
            <w:r>
              <w:rPr>
                <w:sz w:val="20"/>
                <w:szCs w:val="20"/>
              </w:rPr>
              <w:t>214</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D7D9F" w14:textId="77777777" w:rsidR="00E92CE4" w:rsidRDefault="00000000">
            <w:pPr>
              <w:jc w:val="center"/>
            </w:pPr>
            <w:r>
              <w:rPr>
                <w:sz w:val="20"/>
                <w:szCs w:val="20"/>
              </w:rPr>
              <w:t>162</w:t>
            </w:r>
          </w:p>
        </w:tc>
        <w:tc>
          <w:tcPr>
            <w:tcW w:w="1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D91506" w14:textId="77777777" w:rsidR="00E92CE4" w:rsidRDefault="00000000">
            <w:pPr>
              <w:jc w:val="center"/>
            </w:pPr>
            <w:r>
              <w:rPr>
                <w:sz w:val="20"/>
                <w:szCs w:val="20"/>
              </w:rPr>
              <w:t>+10</w:t>
            </w:r>
          </w:p>
        </w:tc>
        <w:tc>
          <w:tcPr>
            <w:tcW w:w="1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088656" w14:textId="77777777" w:rsidR="00E92CE4" w:rsidRDefault="00000000">
            <w:pPr>
              <w:jc w:val="center"/>
            </w:pPr>
            <w:r>
              <w:rPr>
                <w:b/>
                <w:bCs/>
                <w:sz w:val="20"/>
                <w:szCs w:val="20"/>
              </w:rPr>
              <w:t>-52</w:t>
            </w:r>
          </w:p>
        </w:tc>
      </w:tr>
      <w:tr w:rsidR="00E92CE4" w14:paraId="22B856A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C14839" w14:textId="77777777" w:rsidR="00E92CE4" w:rsidRDefault="00000000">
            <w:r>
              <w:rPr>
                <w:sz w:val="20"/>
                <w:szCs w:val="20"/>
              </w:rPr>
              <w:lastRenderedPageBreak/>
              <w:t>Grades 6–8 (Ages ~11–14)</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FC7791" w14:textId="77777777" w:rsidR="00E92CE4" w:rsidRDefault="00000000">
            <w:r>
              <w:rPr>
                <w:sz w:val="20"/>
                <w:szCs w:val="20"/>
              </w:rPr>
              <w:t>Scouts BSA (middle school)</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83CCBE" w14:textId="77777777" w:rsidR="00E92CE4" w:rsidRDefault="00000000">
            <w:pPr>
              <w:jc w:val="center"/>
            </w:pPr>
            <w:r>
              <w:rPr>
                <w:sz w:val="20"/>
                <w:szCs w:val="20"/>
              </w:rPr>
              <w:t>136</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527169" w14:textId="77777777" w:rsidR="00E92CE4" w:rsidRDefault="00000000">
            <w:pPr>
              <w:jc w:val="center"/>
            </w:pPr>
            <w:r>
              <w:rPr>
                <w:sz w:val="20"/>
                <w:szCs w:val="20"/>
              </w:rPr>
              <w:t>119</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D5A190" w14:textId="77777777" w:rsidR="00E92CE4" w:rsidRDefault="00000000">
            <w:pPr>
              <w:jc w:val="center"/>
            </w:pPr>
            <w:r>
              <w:rPr>
                <w:sz w:val="20"/>
                <w:szCs w:val="20"/>
              </w:rPr>
              <w:t>109</w:t>
            </w:r>
          </w:p>
        </w:tc>
        <w:tc>
          <w:tcPr>
            <w:tcW w:w="1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A3D1AD" w14:textId="77777777" w:rsidR="00E92CE4" w:rsidRDefault="00000000">
            <w:pPr>
              <w:jc w:val="center"/>
            </w:pPr>
            <w:r>
              <w:rPr>
                <w:sz w:val="20"/>
                <w:szCs w:val="20"/>
              </w:rPr>
              <w:t>-17</w:t>
            </w:r>
          </w:p>
        </w:tc>
        <w:tc>
          <w:tcPr>
            <w:tcW w:w="1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AFB4CF" w14:textId="77777777" w:rsidR="00E92CE4" w:rsidRDefault="00000000">
            <w:pPr>
              <w:jc w:val="center"/>
            </w:pPr>
            <w:r>
              <w:rPr>
                <w:b/>
                <w:bCs/>
                <w:sz w:val="20"/>
                <w:szCs w:val="20"/>
              </w:rPr>
              <w:t>-10</w:t>
            </w:r>
          </w:p>
        </w:tc>
      </w:tr>
      <w:tr w:rsidR="00E92CE4" w14:paraId="300A8CB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E1C66D" w14:textId="77777777" w:rsidR="00E92CE4" w:rsidRDefault="00000000">
            <w:r>
              <w:rPr>
                <w:sz w:val="20"/>
                <w:szCs w:val="20"/>
              </w:rPr>
              <w:t>Grades 9–12 (Ages ~14–18)</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85F115" w14:textId="77777777" w:rsidR="00E92CE4" w:rsidRDefault="00000000">
            <w:r>
              <w:rPr>
                <w:sz w:val="20"/>
                <w:szCs w:val="20"/>
              </w:rPr>
              <w:t>Scouts BSA (high school / Eagle)</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7E6FEC" w14:textId="77777777" w:rsidR="00E92CE4" w:rsidRDefault="00000000">
            <w:pPr>
              <w:jc w:val="center"/>
            </w:pPr>
            <w:r>
              <w:rPr>
                <w:sz w:val="20"/>
                <w:szCs w:val="20"/>
              </w:rPr>
              <w:t>141</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987A8A" w14:textId="77777777" w:rsidR="00E92CE4" w:rsidRDefault="00000000">
            <w:pPr>
              <w:jc w:val="center"/>
            </w:pPr>
            <w:r>
              <w:rPr>
                <w:sz w:val="20"/>
                <w:szCs w:val="20"/>
              </w:rPr>
              <w:t>121</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A1D6C1" w14:textId="77777777" w:rsidR="00E92CE4" w:rsidRDefault="00000000">
            <w:pPr>
              <w:jc w:val="center"/>
            </w:pPr>
            <w:r>
              <w:rPr>
                <w:sz w:val="20"/>
                <w:szCs w:val="20"/>
              </w:rPr>
              <w:t>108</w:t>
            </w:r>
          </w:p>
        </w:tc>
        <w:tc>
          <w:tcPr>
            <w:tcW w:w="1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B85CB2" w14:textId="77777777" w:rsidR="00E92CE4" w:rsidRDefault="00000000">
            <w:pPr>
              <w:jc w:val="center"/>
            </w:pPr>
            <w:r>
              <w:rPr>
                <w:sz w:val="20"/>
                <w:szCs w:val="20"/>
              </w:rPr>
              <w:t>-20</w:t>
            </w:r>
          </w:p>
        </w:tc>
        <w:tc>
          <w:tcPr>
            <w:tcW w:w="1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C8BD15" w14:textId="77777777" w:rsidR="00E92CE4" w:rsidRDefault="00000000">
            <w:pPr>
              <w:jc w:val="center"/>
            </w:pPr>
            <w:r>
              <w:rPr>
                <w:b/>
                <w:bCs/>
                <w:sz w:val="20"/>
                <w:szCs w:val="20"/>
              </w:rPr>
              <w:t>-13</w:t>
            </w:r>
          </w:p>
        </w:tc>
      </w:tr>
      <w:tr w:rsidR="00E92CE4" w14:paraId="14EF368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1FC6451F" w14:textId="77777777" w:rsidR="00E92CE4" w:rsidRDefault="00000000">
            <w:pPr>
              <w:jc w:val="center"/>
            </w:pPr>
            <w:r>
              <w:rPr>
                <w:b/>
                <w:bCs/>
                <w:sz w:val="20"/>
                <w:szCs w:val="20"/>
              </w:rPr>
              <w:t>Total</w:t>
            </w:r>
          </w:p>
        </w:tc>
        <w:tc>
          <w:tcPr>
            <w:tcW w:w="20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14566B0D" w14:textId="77777777" w:rsidR="00E92CE4" w:rsidRDefault="00000000">
            <w:pPr>
              <w:jc w:val="center"/>
            </w:pPr>
            <w:r>
              <w:rPr>
                <w:b/>
                <w:bCs/>
                <w:sz w:val="20"/>
                <w:szCs w:val="20"/>
              </w:rPr>
              <w:t>—</w:t>
            </w:r>
          </w:p>
        </w:tc>
        <w:tc>
          <w:tcPr>
            <w:tcW w:w="10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52559711" w14:textId="77777777" w:rsidR="00E92CE4" w:rsidRDefault="00000000">
            <w:pPr>
              <w:jc w:val="center"/>
            </w:pPr>
            <w:r>
              <w:rPr>
                <w:b/>
                <w:bCs/>
                <w:sz w:val="20"/>
                <w:szCs w:val="20"/>
              </w:rPr>
              <w:t>715</w:t>
            </w:r>
          </w:p>
        </w:tc>
        <w:tc>
          <w:tcPr>
            <w:tcW w:w="10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3891585B" w14:textId="77777777" w:rsidR="00E92CE4" w:rsidRDefault="00000000">
            <w:pPr>
              <w:jc w:val="center"/>
            </w:pPr>
            <w:r>
              <w:rPr>
                <w:b/>
                <w:bCs/>
                <w:sz w:val="20"/>
                <w:szCs w:val="20"/>
              </w:rPr>
              <w:t>651</w:t>
            </w:r>
          </w:p>
        </w:tc>
        <w:tc>
          <w:tcPr>
            <w:tcW w:w="10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3AF76FE1" w14:textId="77777777" w:rsidR="00E92CE4" w:rsidRDefault="00000000">
            <w:pPr>
              <w:jc w:val="center"/>
            </w:pPr>
            <w:r>
              <w:rPr>
                <w:b/>
                <w:bCs/>
                <w:sz w:val="20"/>
                <w:szCs w:val="20"/>
              </w:rPr>
              <w:t>518</w:t>
            </w:r>
          </w:p>
        </w:tc>
        <w:tc>
          <w:tcPr>
            <w:tcW w:w="118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418BD5E4" w14:textId="77777777" w:rsidR="00E92CE4" w:rsidRDefault="00000000">
            <w:pPr>
              <w:jc w:val="center"/>
            </w:pPr>
            <w:r>
              <w:rPr>
                <w:b/>
                <w:bCs/>
                <w:sz w:val="20"/>
                <w:szCs w:val="20"/>
              </w:rPr>
              <w:t>-64</w:t>
            </w:r>
          </w:p>
        </w:tc>
        <w:tc>
          <w:tcPr>
            <w:tcW w:w="118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2C996CC9" w14:textId="77777777" w:rsidR="00E92CE4" w:rsidRDefault="00000000">
            <w:pPr>
              <w:jc w:val="center"/>
            </w:pPr>
            <w:r>
              <w:rPr>
                <w:b/>
                <w:bCs/>
                <w:sz w:val="20"/>
                <w:szCs w:val="20"/>
              </w:rPr>
              <w:t>-133</w:t>
            </w:r>
          </w:p>
        </w:tc>
      </w:tr>
    </w:tbl>
    <w:p w14:paraId="380AEAC0" w14:textId="77777777" w:rsidR="00E92CE4" w:rsidRDefault="00E92CE4">
      <w:pPr>
        <w:spacing w:after="80"/>
      </w:pPr>
    </w:p>
    <w:p w14:paraId="15DC9335" w14:textId="77777777" w:rsidR="00E92CE4" w:rsidRDefault="00000000">
      <w:pPr>
        <w:spacing w:after="160"/>
      </w:pPr>
      <w:r>
        <w:rPr>
          <w:i/>
          <w:iCs/>
        </w:rPr>
        <w:t xml:space="preserve">Grade bands are based on registered youth grade levels as reported in the OLR system. Grade 0 = Kindergarten. Some youth may register under slightly different grade levels than their program placement suggests. 2026 figures are YTD as of April 6, </w:t>
      </w:r>
      <w:proofErr w:type="gramStart"/>
      <w:r>
        <w:rPr>
          <w:i/>
          <w:iCs/>
        </w:rPr>
        <w:t>2026</w:t>
      </w:r>
      <w:proofErr w:type="gramEnd"/>
      <w:r>
        <w:rPr>
          <w:i/>
          <w:iCs/>
        </w:rPr>
        <w:t xml:space="preserve"> compared against April 2025.</w:t>
      </w:r>
    </w:p>
    <w:p w14:paraId="4A08085C" w14:textId="77777777" w:rsidR="00E92CE4" w:rsidRDefault="00E92CE4">
      <w:pPr>
        <w:spacing w:after="80"/>
      </w:pPr>
    </w:p>
    <w:p w14:paraId="31357C6D" w14:textId="77777777" w:rsidR="00E92CE4" w:rsidRDefault="00000000">
      <w:pPr>
        <w:spacing w:after="160"/>
      </w:pPr>
      <w:r>
        <w:rPr>
          <w:b/>
          <w:bCs/>
        </w:rPr>
        <w:t>Grades K–2 (Entry Pipeline):</w:t>
      </w:r>
      <w:r>
        <w:t xml:space="preserve"> The steepest proportional decline is in this foundational cohort. With only </w:t>
      </w:r>
      <w:r>
        <w:rPr>
          <w:b/>
          <w:bCs/>
        </w:rPr>
        <w:t>139 youth in grades K–2 as of April 2026</w:t>
      </w:r>
      <w:r>
        <w:t xml:space="preserve"> — versus 234 in the same grade band in 2024 — the district is experiencing a 41% contraction in its youngest recruiting pool. This is the Cub Scout feeder that produces the Webelos and eventually the Scouts BSA population five years from now. If this cohort is not rebuilt through aggressive new family recruiting in elementary schools, the downstream enrollment impact will be felt through the early 2030s.</w:t>
      </w:r>
    </w:p>
    <w:p w14:paraId="6BF3349E" w14:textId="77777777" w:rsidR="00E92CE4" w:rsidRDefault="00E92CE4">
      <w:pPr>
        <w:spacing w:after="80"/>
      </w:pPr>
    </w:p>
    <w:p w14:paraId="6C367520" w14:textId="77777777" w:rsidR="00E92CE4" w:rsidRDefault="00000000">
      <w:pPr>
        <w:spacing w:after="160"/>
      </w:pPr>
      <w:r>
        <w:rPr>
          <w:b/>
          <w:bCs/>
        </w:rPr>
        <w:t>Grades 3–5 (Webelos/Arrow of Light):</w:t>
      </w:r>
      <w:r>
        <w:t xml:space="preserve"> This band </w:t>
      </w:r>
      <w:proofErr w:type="gramStart"/>
      <w:r>
        <w:t>actually grew</w:t>
      </w:r>
      <w:proofErr w:type="gramEnd"/>
      <w:r>
        <w:t xml:space="preserve"> slightly from 2024 to 2025 (204 → 214), suggesting a cohort that entered Cub Scouts during 2021–2022 (post-COVID return) was progressing through the program successfully. The 2026 drop to 162 reflects a combination of this cohort aging out into Scouts BSA and the reduced K–2 pipeline behind them. The </w:t>
      </w:r>
      <w:r>
        <w:rPr>
          <w:b/>
          <w:bCs/>
        </w:rPr>
        <w:t>Webelos-to-Scout crossover rate</w:t>
      </w:r>
      <w:r>
        <w:t xml:space="preserve"> will be a critical metric to watch: if </w:t>
      </w:r>
      <w:proofErr w:type="gramStart"/>
      <w:r>
        <w:t>these 162 grade</w:t>
      </w:r>
      <w:proofErr w:type="gramEnd"/>
      <w:r>
        <w:t xml:space="preserve"> 3–5 Cubs are properly mentored into local troops at Arrow of Light, they can substantially reinforce the Scouts BSA roster in 2027–2028.</w:t>
      </w:r>
    </w:p>
    <w:p w14:paraId="003843D7" w14:textId="77777777" w:rsidR="00E92CE4" w:rsidRDefault="00E92CE4">
      <w:pPr>
        <w:spacing w:after="80"/>
      </w:pPr>
    </w:p>
    <w:p w14:paraId="098F4249" w14:textId="77777777" w:rsidR="00E92CE4" w:rsidRDefault="00000000">
      <w:pPr>
        <w:spacing w:after="160"/>
      </w:pPr>
      <w:r>
        <w:rPr>
          <w:b/>
          <w:bCs/>
        </w:rPr>
        <w:t>Grades 6–8 (Middle School Scouts BSA):</w:t>
      </w:r>
      <w:r>
        <w:t xml:space="preserve"> Declining from 136 (2024) to 119 (2025) to 109 (2026 YTD), this band reflects the unit closures in the Scouts BSA program (Troops 1031, 1103, 9191, 9280) as well as retention challenges in active troops. Troop 1005’s strong growth (83% retention, +13 youth YOY) partially offsets losses elsewhere but is not sufficient to reverse the band’s overall trend.</w:t>
      </w:r>
    </w:p>
    <w:p w14:paraId="57EEA052" w14:textId="77777777" w:rsidR="00E92CE4" w:rsidRDefault="00E92CE4">
      <w:pPr>
        <w:spacing w:after="80"/>
      </w:pPr>
    </w:p>
    <w:p w14:paraId="78893BAC" w14:textId="77777777" w:rsidR="00E92CE4" w:rsidRDefault="00000000">
      <w:pPr>
        <w:spacing w:after="160"/>
      </w:pPr>
      <w:r>
        <w:rPr>
          <w:b/>
          <w:bCs/>
        </w:rPr>
        <w:t>Grades 9–12 (High School Scouts BSA):</w:t>
      </w:r>
      <w:r>
        <w:t xml:space="preserve"> The most stable of the four bands, declining from 141 (2024) to 121 (2025) to 108 (2026 YTD). High school Scouts tend to be more committed — many are actively working toward Eagle Scout — and show less age-related attrition than younger cohorts. The relative stability of this band, despite the district’s overall contraction, is a positive signal about program quality in the upper ranks.</w:t>
      </w:r>
    </w:p>
    <w:p w14:paraId="43C33ADB" w14:textId="77777777" w:rsidR="00E92CE4" w:rsidRDefault="00E92CE4">
      <w:pPr>
        <w:spacing w:after="80"/>
      </w:pPr>
    </w:p>
    <w:p w14:paraId="33B5C9B0" w14:textId="77777777" w:rsidR="00E92CE4" w:rsidRDefault="00000000">
      <w:pPr>
        <w:pStyle w:val="Heading1"/>
      </w:pPr>
      <w:r>
        <w:rPr>
          <w:sz w:val="32"/>
          <w:szCs w:val="32"/>
        </w:rPr>
        <w:t>Total Youth Served vs. Registered Membership</w:t>
      </w:r>
    </w:p>
    <w:p w14:paraId="60072E84" w14:textId="77777777" w:rsidR="00E92CE4" w:rsidRDefault="00000000">
      <w:pPr>
        <w:spacing w:after="160"/>
      </w:pPr>
      <w:r>
        <w:t xml:space="preserve">TYS consistently exceeds registered youth membership by approximately </w:t>
      </w:r>
      <w:r>
        <w:rPr>
          <w:b/>
          <w:bCs/>
        </w:rPr>
        <w:t>80–90 youth</w:t>
      </w:r>
      <w:r>
        <w:t xml:space="preserve"> in each year. In 2025, with 651 TYS and approximately 566 registered youth (based on March membership snapshots), the difference of roughly 85 represents youth who participated in Scouting program activities — day camp, merit badge events, service projects, and community programs — without holding formal registration. These participants represent the district’s most accessible pool of prospective members.</w:t>
      </w:r>
    </w:p>
    <w:p w14:paraId="0E906608" w14:textId="77777777" w:rsidR="00E92CE4" w:rsidRDefault="00E92CE4">
      <w:pPr>
        <w:spacing w:after="80"/>
      </w:pPr>
    </w:p>
    <w:p w14:paraId="54A6FFD8" w14:textId="77777777" w:rsidR="00E92CE4" w:rsidRDefault="00000000">
      <w:pPr>
        <w:spacing w:after="160"/>
      </w:pPr>
      <w:r>
        <w:t xml:space="preserve">Converting even a fraction of this </w:t>
      </w:r>
      <w:r>
        <w:rPr>
          <w:b/>
          <w:bCs/>
        </w:rPr>
        <w:t>unregistered TYS cohort into formal members</w:t>
      </w:r>
      <w:r>
        <w:t xml:space="preserve"> is one of the most efficient membership growth strategies available. Unlike cold recruiting, these youth already have Scouting exposure and some level of positive experience with the program. A targeted follow-up effort — particularly after merit badge fairs and Scouting for Food — to connect these youth with a pack or troop could add 20–30 members to the district annually with relatively modest effort.</w:t>
      </w:r>
    </w:p>
    <w:p w14:paraId="25B1F17D" w14:textId="77777777" w:rsidR="00E92CE4" w:rsidRDefault="00E92CE4">
      <w:pPr>
        <w:spacing w:after="80"/>
      </w:pPr>
    </w:p>
    <w:p w14:paraId="368A1117" w14:textId="77777777" w:rsidR="00E92CE4" w:rsidRDefault="00000000">
      <w:pPr>
        <w:pStyle w:val="Heading1"/>
      </w:pPr>
      <w:r>
        <w:rPr>
          <w:sz w:val="32"/>
          <w:szCs w:val="32"/>
        </w:rPr>
        <w:t>Total Youth Served Priorities for Incoming District Chairman</w:t>
      </w:r>
    </w:p>
    <w:p w14:paraId="69BE8089" w14:textId="77777777" w:rsidR="00E92CE4" w:rsidRDefault="00000000">
      <w:pPr>
        <w:pStyle w:val="Heading2"/>
      </w:pPr>
      <w:r>
        <w:t>Immediate Actions</w:t>
      </w:r>
    </w:p>
    <w:p w14:paraId="4C55F829" w14:textId="77777777" w:rsidR="00E92CE4" w:rsidRDefault="00000000">
      <w:pPr>
        <w:pStyle w:val="ListParagraph"/>
        <w:numPr>
          <w:ilvl w:val="0"/>
          <w:numId w:val="2"/>
        </w:numPr>
        <w:spacing w:after="80"/>
      </w:pPr>
      <w:r>
        <w:rPr>
          <w:b/>
          <w:bCs/>
        </w:rPr>
        <w:t>Investigate the 15219 (Pittsburgh East) collapse</w:t>
      </w:r>
      <w:r>
        <w:t xml:space="preserve"> urgently. From 63 youth (2024) to 13 (2026 YTD) in two years, this community has been nearly abandoned by the district’s Scouting program. Whether this is due to unit closures, chartered organization changes, or demographic shifts, the incoming Chair should understand the root cause before determining whether a re-entry strategy is feasible.</w:t>
      </w:r>
    </w:p>
    <w:p w14:paraId="191E286B" w14:textId="77777777" w:rsidR="00E92CE4" w:rsidRDefault="00000000">
      <w:pPr>
        <w:pStyle w:val="ListParagraph"/>
        <w:numPr>
          <w:ilvl w:val="0"/>
          <w:numId w:val="2"/>
        </w:numPr>
        <w:spacing w:after="80"/>
      </w:pPr>
      <w:r>
        <w:rPr>
          <w:b/>
          <w:bCs/>
        </w:rPr>
        <w:t>Prioritize K–2 recruiting for Fall 2026.</w:t>
      </w:r>
      <w:r>
        <w:t xml:space="preserve"> A district where the youngest grade cohort is at 139 youth and declining 30% year-over-year is building a structural membership crisis. Every pack needs a concrete kindergarten-through-2nd-grade recruiting plan for September 2026. School Night for Scouting, classroom presentations, and elementary school relationships are the most effective tools for this age band and should be treated as a district-wide coordinated effort rather than left to individual pack initiative.</w:t>
      </w:r>
    </w:p>
    <w:p w14:paraId="35015D73" w14:textId="77777777" w:rsidR="00E92CE4" w:rsidRDefault="00E92CE4">
      <w:pPr>
        <w:spacing w:after="80"/>
      </w:pPr>
    </w:p>
    <w:p w14:paraId="106AD0AF" w14:textId="77777777" w:rsidR="00E92CE4" w:rsidRDefault="00000000">
      <w:pPr>
        <w:pStyle w:val="Heading2"/>
      </w:pPr>
      <w:r>
        <w:t>Near-Term Focus Areas (Q2–3 2026)</w:t>
      </w:r>
    </w:p>
    <w:p w14:paraId="6CD47D1F" w14:textId="77777777" w:rsidR="00E92CE4" w:rsidRDefault="00000000">
      <w:pPr>
        <w:pStyle w:val="ListParagraph"/>
        <w:numPr>
          <w:ilvl w:val="0"/>
          <w:numId w:val="2"/>
        </w:numPr>
        <w:spacing w:after="80"/>
      </w:pPr>
      <w:r>
        <w:rPr>
          <w:b/>
          <w:bCs/>
        </w:rPr>
        <w:t>Convert the TYS gap into membership.</w:t>
      </w:r>
      <w:r>
        <w:t xml:space="preserve"> With ~85 youth annually who participate in Scouting activities but are not registered, the district should track which events produce these participants and implement post-event follow-up </w:t>
      </w:r>
      <w:r>
        <w:lastRenderedPageBreak/>
        <w:t>protocols. A simple contact card at merit badge fairs and day camp can capture names for unit-level follow-up within 2 weeks of the event.</w:t>
      </w:r>
    </w:p>
    <w:p w14:paraId="2ED10D44" w14:textId="77777777" w:rsidR="00E92CE4" w:rsidRDefault="00000000">
      <w:pPr>
        <w:pStyle w:val="ListParagraph"/>
        <w:numPr>
          <w:ilvl w:val="0"/>
          <w:numId w:val="2"/>
        </w:numPr>
        <w:spacing w:after="80"/>
      </w:pPr>
      <w:r>
        <w:rPr>
          <w:b/>
          <w:bCs/>
        </w:rPr>
        <w:t>Develop a Webelos Pipeline Initiative for 2026–2027.</w:t>
      </w:r>
      <w:r>
        <w:t xml:space="preserve"> The 162 youth in grades 3–5 </w:t>
      </w:r>
      <w:proofErr w:type="gramStart"/>
      <w:r>
        <w:t>are</w:t>
      </w:r>
      <w:proofErr w:type="gramEnd"/>
      <w:r>
        <w:t xml:space="preserve"> the district’s most valuable near-term recruitment asset for Scouts BSA troops. A district-supported Webelos-to-Scout transition event each spring — with all troop Scoutmasters in attendance and an organized troop visit program — can prevent the attrition that occurs when Arrow of Light Scouts age out without a clear troop connection.</w:t>
      </w:r>
    </w:p>
    <w:p w14:paraId="24F6BF0C" w14:textId="77777777" w:rsidR="00E92CE4" w:rsidRDefault="00000000">
      <w:pPr>
        <w:pStyle w:val="ListParagraph"/>
        <w:numPr>
          <w:ilvl w:val="0"/>
          <w:numId w:val="2"/>
        </w:numPr>
        <w:spacing w:after="80"/>
      </w:pPr>
      <w:r>
        <w:rPr>
          <w:b/>
          <w:bCs/>
        </w:rPr>
        <w:t>Set a geographic expansion target for 15301 and 15321.</w:t>
      </w:r>
      <w:r>
        <w:t xml:space="preserve"> Washington and Cecil Township show manageable, gradual declines that could be reversed with focused outreach. Both have established units and existing chartered organization relationships. A specific recruiting partnership with one or two new schools or community organizations in each ZIP could produce 10–15 additional youth served per year.</w:t>
      </w:r>
    </w:p>
    <w:p w14:paraId="290C04EE" w14:textId="77777777" w:rsidR="00E92CE4" w:rsidRDefault="00000000">
      <w:pPr>
        <w:pStyle w:val="ListParagraph"/>
        <w:numPr>
          <w:ilvl w:val="0"/>
          <w:numId w:val="2"/>
        </w:numPr>
        <w:spacing w:after="80"/>
      </w:pPr>
      <w:r>
        <w:rPr>
          <w:b/>
          <w:bCs/>
        </w:rPr>
        <w:t>Grow female participation toward 10% of TYS.</w:t>
      </w:r>
      <w:r>
        <w:t xml:space="preserve"> With Troop 1305 (G) as the district’s only active girls’ BSA troop and female TYS at 7.9%, there is meaningful untapped demand. Establishing at least one additional girls’ Scouts BSA troop — ideally in either the 15301 (Washington) or 15317 (Peters Township) area — would both increase TYS and demonstrate the district’s commitment to inclusive programming. A girls’ Cub Scout pack, or family-friendly Cub Scout packs that actively recruit girls to existing dens, would also contribute to this goal.</w:t>
      </w:r>
    </w:p>
    <w:p w14:paraId="4D25E292" w14:textId="77777777" w:rsidR="00E92CE4" w:rsidRDefault="00000000">
      <w:pPr>
        <w:pStyle w:val="ListParagraph"/>
        <w:numPr>
          <w:ilvl w:val="0"/>
          <w:numId w:val="2"/>
        </w:numPr>
        <w:spacing w:after="80"/>
      </w:pPr>
      <w:r>
        <w:t>Track TYS as a dashboard metric at every District Committee meeting. A simple year-to-date TYS number, compared against the same date in the prior year, provides a real-time signal of program trajectory that complements the lagging indicator of recharter membership counts.</w:t>
      </w:r>
    </w:p>
    <w:p w14:paraId="4171D926" w14:textId="77777777" w:rsidR="00E92CE4" w:rsidRDefault="00E92CE4">
      <w:pPr>
        <w:spacing w:after="80"/>
      </w:pPr>
    </w:p>
    <w:p w14:paraId="47A4660A" w14:textId="77777777" w:rsidR="00E92CE4" w:rsidRDefault="00000000">
      <w:pPr>
        <w:pBdr>
          <w:top w:val="single" w:sz="4" w:space="1" w:color="CCCCCC"/>
        </w:pBdr>
        <w:spacing w:before="400"/>
      </w:pPr>
      <w:r>
        <w:rPr>
          <w:i/>
          <w:iCs/>
          <w:color w:val="777777"/>
          <w:sz w:val="18"/>
          <w:szCs w:val="18"/>
        </w:rPr>
        <w:t xml:space="preserve">Data sources: (1) TYS Report By Age — Laurel Highlands Council 527, </w:t>
      </w:r>
      <w:proofErr w:type="gramStart"/>
      <w:r>
        <w:rPr>
          <w:i/>
          <w:iCs/>
          <w:color w:val="777777"/>
          <w:sz w:val="18"/>
          <w:szCs w:val="18"/>
        </w:rPr>
        <w:t>2026 year</w:t>
      </w:r>
      <w:proofErr w:type="gramEnd"/>
      <w:r>
        <w:rPr>
          <w:i/>
          <w:iCs/>
          <w:color w:val="777777"/>
          <w:sz w:val="18"/>
          <w:szCs w:val="18"/>
        </w:rPr>
        <w:t xml:space="preserve">, generated April 6, 2026; shows 2025 full-year and 2026 YTD totals by age and ZIP code. (2) TYS Report By Grade and Gender — Laurel Highlands Council 527, </w:t>
      </w:r>
      <w:proofErr w:type="gramStart"/>
      <w:r>
        <w:rPr>
          <w:i/>
          <w:iCs/>
          <w:color w:val="777777"/>
          <w:sz w:val="18"/>
          <w:szCs w:val="18"/>
        </w:rPr>
        <w:t>2026 year</w:t>
      </w:r>
      <w:proofErr w:type="gramEnd"/>
      <w:r>
        <w:rPr>
          <w:i/>
          <w:iCs/>
          <w:color w:val="777777"/>
          <w:sz w:val="18"/>
          <w:szCs w:val="18"/>
        </w:rPr>
        <w:t xml:space="preserve">, generated April 6, 2026; shows 2025 and 2026 totals by grade, gender, and ZIP. (3) TYS Report By Grade and Gender — Laurel Highlands Council 527, </w:t>
      </w:r>
      <w:proofErr w:type="gramStart"/>
      <w:r>
        <w:rPr>
          <w:i/>
          <w:iCs/>
          <w:color w:val="777777"/>
          <w:sz w:val="18"/>
          <w:szCs w:val="18"/>
        </w:rPr>
        <w:t>2025 year</w:t>
      </w:r>
      <w:proofErr w:type="gramEnd"/>
      <w:r>
        <w:rPr>
          <w:i/>
          <w:iCs/>
          <w:color w:val="777777"/>
          <w:sz w:val="18"/>
          <w:szCs w:val="18"/>
        </w:rPr>
        <w:t xml:space="preserve">, generated April 6, 2026; shows 2024 and 2025 totals. All reports filtered to Anawanna Trails District 13, Traditional (TRAD) program only. The 2026 YTD figures reflect enrollment as of April 6, </w:t>
      </w:r>
      <w:proofErr w:type="gramStart"/>
      <w:r>
        <w:rPr>
          <w:i/>
          <w:iCs/>
          <w:color w:val="777777"/>
          <w:sz w:val="18"/>
          <w:szCs w:val="18"/>
        </w:rPr>
        <w:t>2026</w:t>
      </w:r>
      <w:proofErr w:type="gramEnd"/>
      <w:r>
        <w:rPr>
          <w:i/>
          <w:iCs/>
          <w:color w:val="777777"/>
          <w:sz w:val="18"/>
          <w:szCs w:val="18"/>
        </w:rPr>
        <w:t xml:space="preserve"> and represent a year-to-date snapshot, not a projected full-year total. Comparisons between 2025 and 2026 are on a like-for-like April snapshot basis. Report prepared April 2026 for District Chairman transition.</w:t>
      </w:r>
    </w:p>
    <w:sectPr w:rsidR="00E92CE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675D" w14:textId="77777777" w:rsidR="00A34F4B" w:rsidRDefault="00A34F4B">
      <w:r>
        <w:separator/>
      </w:r>
    </w:p>
  </w:endnote>
  <w:endnote w:type="continuationSeparator" w:id="0">
    <w:p w14:paraId="7E588755" w14:textId="77777777" w:rsidR="00A34F4B" w:rsidRDefault="00A3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7506" w14:textId="77777777" w:rsidR="00E92CE4" w:rsidRDefault="00000000">
    <w:pPr>
      <w:jc w:val="center"/>
    </w:pP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274D65">
      <w:rPr>
        <w:noProof/>
        <w:color w:val="555555"/>
        <w:sz w:val="18"/>
        <w:szCs w:val="18"/>
      </w:rPr>
      <w:t>1</w:t>
    </w:r>
    <w:r>
      <w:rPr>
        <w:color w:val="555555"/>
        <w:sz w:val="18"/>
        <w:szCs w:val="18"/>
      </w:rPr>
      <w:fldChar w:fldCharType="end"/>
    </w:r>
    <w:r>
      <w:rPr>
        <w:color w:val="555555"/>
        <w:sz w:val="18"/>
        <w:szCs w:val="18"/>
      </w:rPr>
      <w:t xml:space="preserve"> — Prepared for District Chairman Transition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7A0D" w14:textId="77777777" w:rsidR="00A34F4B" w:rsidRDefault="00A34F4B">
      <w:r>
        <w:separator/>
      </w:r>
    </w:p>
  </w:footnote>
  <w:footnote w:type="continuationSeparator" w:id="0">
    <w:p w14:paraId="0409959D" w14:textId="77777777" w:rsidR="00A34F4B" w:rsidRDefault="00A3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B03A" w14:textId="77777777" w:rsidR="00E92CE4" w:rsidRDefault="00000000">
    <w:pPr>
      <w:pBdr>
        <w:bottom w:val="single" w:sz="6" w:space="1" w:color="2E5F96"/>
      </w:pBdr>
      <w:jc w:val="right"/>
    </w:pPr>
    <w:r>
      <w:rPr>
        <w:color w:val="555555"/>
        <w:sz w:val="18"/>
        <w:szCs w:val="18"/>
      </w:rPr>
      <w:t>Anawanna Trails District 13 — Total Youth Served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D5D"/>
    <w:multiLevelType w:val="hybridMultilevel"/>
    <w:tmpl w:val="FAC889F8"/>
    <w:lvl w:ilvl="0" w:tplc="56241142">
      <w:start w:val="1"/>
      <w:numFmt w:val="bullet"/>
      <w:lvlText w:val="●"/>
      <w:lvlJc w:val="left"/>
      <w:pPr>
        <w:ind w:left="720" w:hanging="360"/>
      </w:pPr>
    </w:lvl>
    <w:lvl w:ilvl="1" w:tplc="9312B5F8">
      <w:start w:val="1"/>
      <w:numFmt w:val="bullet"/>
      <w:lvlText w:val="○"/>
      <w:lvlJc w:val="left"/>
      <w:pPr>
        <w:ind w:left="1440" w:hanging="360"/>
      </w:pPr>
    </w:lvl>
    <w:lvl w:ilvl="2" w:tplc="8544E9AA">
      <w:start w:val="1"/>
      <w:numFmt w:val="bullet"/>
      <w:lvlText w:val="■"/>
      <w:lvlJc w:val="left"/>
      <w:pPr>
        <w:ind w:left="2160" w:hanging="360"/>
      </w:pPr>
    </w:lvl>
    <w:lvl w:ilvl="3" w:tplc="D896998C">
      <w:start w:val="1"/>
      <w:numFmt w:val="bullet"/>
      <w:lvlText w:val="●"/>
      <w:lvlJc w:val="left"/>
      <w:pPr>
        <w:ind w:left="2880" w:hanging="360"/>
      </w:pPr>
    </w:lvl>
    <w:lvl w:ilvl="4" w:tplc="2ADA5568">
      <w:start w:val="1"/>
      <w:numFmt w:val="bullet"/>
      <w:lvlText w:val="○"/>
      <w:lvlJc w:val="left"/>
      <w:pPr>
        <w:ind w:left="3600" w:hanging="360"/>
      </w:pPr>
    </w:lvl>
    <w:lvl w:ilvl="5" w:tplc="0B66BDA6">
      <w:start w:val="1"/>
      <w:numFmt w:val="bullet"/>
      <w:lvlText w:val="■"/>
      <w:lvlJc w:val="left"/>
      <w:pPr>
        <w:ind w:left="4320" w:hanging="360"/>
      </w:pPr>
    </w:lvl>
    <w:lvl w:ilvl="6" w:tplc="1346A8E4">
      <w:start w:val="1"/>
      <w:numFmt w:val="bullet"/>
      <w:lvlText w:val="●"/>
      <w:lvlJc w:val="left"/>
      <w:pPr>
        <w:ind w:left="5040" w:hanging="360"/>
      </w:pPr>
    </w:lvl>
    <w:lvl w:ilvl="7" w:tplc="DA78B492">
      <w:start w:val="1"/>
      <w:numFmt w:val="bullet"/>
      <w:lvlText w:val="●"/>
      <w:lvlJc w:val="left"/>
      <w:pPr>
        <w:ind w:left="5760" w:hanging="360"/>
      </w:pPr>
    </w:lvl>
    <w:lvl w:ilvl="8" w:tplc="E6CE2DF8">
      <w:start w:val="1"/>
      <w:numFmt w:val="bullet"/>
      <w:lvlText w:val="●"/>
      <w:lvlJc w:val="left"/>
      <w:pPr>
        <w:ind w:left="6480" w:hanging="360"/>
      </w:pPr>
    </w:lvl>
  </w:abstractNum>
  <w:abstractNum w:abstractNumId="1" w15:restartNumberingAfterBreak="0">
    <w:nsid w:val="187D2C9B"/>
    <w:multiLevelType w:val="hybridMultilevel"/>
    <w:tmpl w:val="F2FC643E"/>
    <w:lvl w:ilvl="0" w:tplc="3BBE4730">
      <w:start w:val="1"/>
      <w:numFmt w:val="bullet"/>
      <w:lvlText w:val="•"/>
      <w:lvlJc w:val="left"/>
      <w:pPr>
        <w:ind w:left="720" w:hanging="360"/>
      </w:pPr>
    </w:lvl>
    <w:lvl w:ilvl="1" w:tplc="5AF6FEC8">
      <w:start w:val="1"/>
      <w:numFmt w:val="bullet"/>
      <w:lvlText w:val="◦"/>
      <w:lvlJc w:val="left"/>
      <w:pPr>
        <w:ind w:left="1080" w:hanging="360"/>
      </w:pPr>
    </w:lvl>
    <w:lvl w:ilvl="2" w:tplc="C34A9C64">
      <w:numFmt w:val="decimal"/>
      <w:lvlText w:val=""/>
      <w:lvlJc w:val="left"/>
    </w:lvl>
    <w:lvl w:ilvl="3" w:tplc="27483964">
      <w:numFmt w:val="decimal"/>
      <w:lvlText w:val=""/>
      <w:lvlJc w:val="left"/>
    </w:lvl>
    <w:lvl w:ilvl="4" w:tplc="FBA48544">
      <w:numFmt w:val="decimal"/>
      <w:lvlText w:val=""/>
      <w:lvlJc w:val="left"/>
    </w:lvl>
    <w:lvl w:ilvl="5" w:tplc="FECA3310">
      <w:numFmt w:val="decimal"/>
      <w:lvlText w:val=""/>
      <w:lvlJc w:val="left"/>
    </w:lvl>
    <w:lvl w:ilvl="6" w:tplc="690EDED2">
      <w:numFmt w:val="decimal"/>
      <w:lvlText w:val=""/>
      <w:lvlJc w:val="left"/>
    </w:lvl>
    <w:lvl w:ilvl="7" w:tplc="B29A4168">
      <w:numFmt w:val="decimal"/>
      <w:lvlText w:val=""/>
      <w:lvlJc w:val="left"/>
    </w:lvl>
    <w:lvl w:ilvl="8" w:tplc="A9BAF54C">
      <w:numFmt w:val="decimal"/>
      <w:lvlText w:val=""/>
      <w:lvlJc w:val="left"/>
    </w:lvl>
  </w:abstractNum>
  <w:num w:numId="1" w16cid:durableId="688870569">
    <w:abstractNumId w:val="0"/>
    <w:lvlOverride w:ilvl="0">
      <w:startOverride w:val="1"/>
    </w:lvlOverride>
  </w:num>
  <w:num w:numId="2" w16cid:durableId="12426361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E4"/>
    <w:rsid w:val="00274D65"/>
    <w:rsid w:val="0043653D"/>
    <w:rsid w:val="00A34F4B"/>
    <w:rsid w:val="00E9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7B8223"/>
  <w15:docId w15:val="{56C3F33A-D3DD-D348-8E0E-D6EDFE9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6"/>
      <w:szCs w:val="36"/>
    </w:rPr>
  </w:style>
  <w:style w:type="paragraph" w:styleId="Heading2">
    <w:name w:val="heading 2"/>
    <w:uiPriority w:val="9"/>
    <w:unhideWhenUsed/>
    <w:qFormat/>
    <w:pPr>
      <w:spacing w:before="280" w:after="160"/>
      <w:outlineLvl w:val="1"/>
    </w:pPr>
    <w:rPr>
      <w:b/>
      <w:bCs/>
      <w:color w:val="2E5F9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2546</Words>
  <Characters>13336</Characters>
  <Application>Microsoft Office Word</Application>
  <DocSecurity>0</DocSecurity>
  <Lines>387</Lines>
  <Paragraphs>183</Paragraphs>
  <ScaleCrop>false</ScaleCrop>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Corr</cp:lastModifiedBy>
  <cp:revision>2</cp:revision>
  <dcterms:created xsi:type="dcterms:W3CDTF">2026-04-16T01:20:00Z</dcterms:created>
  <dcterms:modified xsi:type="dcterms:W3CDTF">2026-04-16T01:25:00Z</dcterms:modified>
</cp:coreProperties>
</file>