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1837" w:val="clear"/>
            <w:tcMar>
              <w:top w:w="220.0" w:type="dxa"/>
              <w:left w:w="280.0" w:type="dxa"/>
              <w:bottom w:w="220.0" w:type="dxa"/>
              <w:right w:w="280.0" w:type="dxa"/>
            </w:tcMar>
          </w:tcPr>
          <w:p w:rsidR="00000000" w:rsidDel="00000000" w:rsidP="00000000" w:rsidRDefault="00000000" w:rsidRPr="00000000" w14:paraId="00000002">
            <w:pPr>
              <w:spacing w:after="60" w:before="0" w:lineRule="auto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Training Session Design Template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ffff"/>
                <w:sz w:val="22"/>
                <w:szCs w:val="22"/>
                <w:rtl w:val="0"/>
              </w:rPr>
              <w:t xml:space="preserve">Sequoyah Lodge  ·  Complete this document before building your PowerPoint slides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36454f"/>
          <w:sz w:val="22"/>
          <w:szCs w:val="22"/>
          <w:rtl w:val="0"/>
        </w:rPr>
        <w:t xml:space="preserve">This template helps you design a complete training session from the ground up. Work through every section before opening PowerPoint — sessions built from a solid design document are clearer, tighter, and more engaging than those built slide-first.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e31837" w:space="4" w:sz="8" w:val="single"/>
        </w:pBdr>
        <w:spacing w:after="160" w:before="32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e31837"/>
          <w:sz w:val="32"/>
          <w:szCs w:val="32"/>
          <w:rtl w:val="0"/>
        </w:rPr>
        <w:t xml:space="preserve">Section 1  —  Session Overview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2280"/>
        <w:gridCol w:w="2400"/>
        <w:gridCol w:w="2280"/>
        <w:tblGridChange w:id="0">
          <w:tblGrid>
            <w:gridCol w:w="2400"/>
            <w:gridCol w:w="2280"/>
            <w:gridCol w:w="2400"/>
            <w:gridCol w:w="2280"/>
          </w:tblGrid>
        </w:tblGridChange>
      </w:tblGrid>
      <w:tr>
        <w:trPr>
          <w:cantSplit w:val="1"/>
          <w:trHeight w:val="52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6e7e8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Session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session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6e7e8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Designed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your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6e7e8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Presenter(s)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presenter name(s)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6e7e8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Date of Session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6e7e8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Total Session Length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e.g., 60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6e7e8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Audience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All attendees     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Chapter chiefs     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All officers     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Advisers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8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6e7e8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One-sentence description of this session (what it is and who it’s for)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a one-sentence description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bottom w:color="e31837" w:space="4" w:sz="8" w:val="single"/>
        </w:pBdr>
        <w:spacing w:after="160" w:before="32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e31837"/>
          <w:sz w:val="32"/>
          <w:szCs w:val="32"/>
          <w:rtl w:val="0"/>
        </w:rPr>
        <w:t xml:space="preserve">Section 2  —  Learning Objectives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5596" w:space="0" w:sz="12" w:val="single"/>
          <w:left w:color="005596" w:space="0" w:sz="12" w:val="single"/>
          <w:bottom w:color="005596" w:space="0" w:sz="12" w:val="single"/>
          <w:right w:color="005596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4f8fb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2"/>
                <w:szCs w:val="22"/>
                <w:rtl w:val="0"/>
              </w:rPr>
              <w:t xml:space="preserve">Write objectives as: “By the end of this session, participants will be able to…” Use action verbs (identify, explain, demonstrate, practice, apply, create, distinguish). Aim for 2–3 objectives maximum.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6e7e8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Objective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B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the first learning objective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6e7e8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Objective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E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the second learning objective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6e7e8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Objective 3 (optional)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1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the third learning objective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bottom w:color="e31837" w:space="4" w:sz="8" w:val="single"/>
        </w:pBdr>
        <w:spacing w:after="160" w:before="32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e31837"/>
          <w:sz w:val="32"/>
          <w:szCs w:val="32"/>
          <w:rtl w:val="0"/>
        </w:rPr>
        <w:t xml:space="preserve">Section 3  —  Materials &amp; Room Setup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318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Rule="auto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Materials Checklist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318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Rule="auto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Room Setup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5">
            <w:pPr>
              <w:spacing w:after="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Printed handouts (quantity: </w:t>
            </w: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PowerPoint slides / projector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Whiteboard or flip chart + markers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Sticky notes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Pens / pencils for participants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Timer (phone is fine)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Evaluation forms (T9) — one per participant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Other: </w:t>
            </w: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specify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Other: </w:t>
            </w: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specify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E">
            <w:pPr>
              <w:spacing w:after="8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2"/>
                <w:szCs w:val="22"/>
                <w:rtl w:val="0"/>
              </w:rPr>
              <w:t xml:space="preserve">Preferred arrangement: 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Theater    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Round tables    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U-shape    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2"/>
                <w:szCs w:val="22"/>
                <w:rtl w:val="0"/>
              </w:rPr>
              <w:t xml:space="preserve">  Small groups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8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2"/>
                <w:szCs w:val="22"/>
                <w:rtl w:val="0"/>
              </w:rPr>
              <w:t xml:space="preserve">Room/location: </w:t>
            </w: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location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8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2"/>
                <w:szCs w:val="22"/>
                <w:rtl w:val="0"/>
              </w:rPr>
              <w:t xml:space="preserve">AV/tech needed: </w:t>
            </w: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list AV/tech needs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8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2"/>
                <w:szCs w:val="22"/>
                <w:rtl w:val="0"/>
              </w:rPr>
              <w:t xml:space="preserve">Setup time needed before session: </w:t>
            </w: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e.g., 30 minutes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2"/>
                <w:szCs w:val="22"/>
                <w:rtl w:val="0"/>
              </w:rPr>
              <w:t xml:space="preserve">Special setup notes: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add any special setup notes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ageBreakBefore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bottom w:color="e31837" w:space="4" w:sz="8" w:val="single"/>
        </w:pBdr>
        <w:spacing w:after="160" w:before="32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e31837"/>
          <w:sz w:val="32"/>
          <w:szCs w:val="32"/>
          <w:rtl w:val="0"/>
        </w:rPr>
        <w:t xml:space="preserve">Section 4  —  Detailed Run-of-Show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before="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36454f"/>
          <w:sz w:val="22"/>
          <w:szCs w:val="22"/>
          <w:rtl w:val="0"/>
        </w:rPr>
        <w:t xml:space="preserve">Pre-filled with a standard 90-minute session structure. Edit any cell directly. Timings should add up to your total session length — add or remove rows as needed.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1200"/>
        <w:gridCol w:w="2200"/>
        <w:gridCol w:w="3000"/>
        <w:gridCol w:w="1100"/>
        <w:gridCol w:w="960"/>
        <w:tblGridChange w:id="0">
          <w:tblGrid>
            <w:gridCol w:w="900"/>
            <w:gridCol w:w="1200"/>
            <w:gridCol w:w="2200"/>
            <w:gridCol w:w="3000"/>
            <w:gridCol w:w="1100"/>
            <w:gridCol w:w="9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318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318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Rule="auto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318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Rule="auto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Activity / Segment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318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Rule="auto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Facilitator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318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Rule="auto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Who Leads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318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Rule="auto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Slides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5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Welcome &amp; Introductions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Welcome participants, introduce presenters, state session title and objectives. Set the tone.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Presenter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1–2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0:05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10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Opening Discussion / Hook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Pose an opening question or scenario that connects to the topic. Let 2–3 participants respond. Creates buy-in.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Presenter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0:15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15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Core Concept — Part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Present the first key idea. Keep slides minimal. Speak to the concept, not the bullet points.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Presenter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4–7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15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Activity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Participants apply Concept 1. Small groups, pairs, or individual reflection. Keep it focused.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0:45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5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Debrief Activity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Ask 2–3 groups to share. Summarize what you heard. Bridge to Concept 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Presenter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0:50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10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Core Concept — Part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Present the second key idea. Connect it explicitly to Concept 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Presenter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9–12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10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Activity 2 / Discussion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Deeper application or discussion. Can be full group or pairs. Allow silence — it’s okay.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1:10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7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Key Takeaways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Summarize the 2–3 main points. Ask participants: “What is the one thing you’re taking away from this session?”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Presenter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13–14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1:17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5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Next Steps &amp; Close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Tell participants what you want them to do with this. Specific and actionable. Thank them.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Presenter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1:22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8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Evaluation Forms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Distribute T9. Give participants time to complete in the room. Collect before dismissing.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1"/>
                <w:iCs w:val="1"/>
                <w:color w:val="36454f"/>
                <w:sz w:val="22"/>
                <w:szCs w:val="22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color w:val="36454f"/>
                <w:sz w:val="22"/>
                <w:szCs w:val="22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pageBreakBefore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bottom w:color="e31837" w:space="4" w:sz="8" w:val="single"/>
        </w:pBdr>
        <w:spacing w:after="160" w:before="32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e31837"/>
          <w:sz w:val="32"/>
          <w:szCs w:val="32"/>
          <w:rtl w:val="0"/>
        </w:rPr>
        <w:t xml:space="preserve">Section 5  —  Discussion Questions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60" w:before="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36454f"/>
          <w:sz w:val="22"/>
          <w:szCs w:val="22"/>
          <w:rtl w:val="0"/>
        </w:rPr>
        <w:t xml:space="preserve">Write out more questions than you need. You won’t use them all — but having them ready prevents dead air.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318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Rule="auto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318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Rule="auto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Opening (Hook)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question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Opening (Hook)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question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During (Apply)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question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During (Apply)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question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Debrief (Reflect)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question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Close (Commit)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enter question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ageBreakBefore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bottom w:color="e31837" w:space="4" w:sz="8" w:val="single"/>
        </w:pBdr>
        <w:spacing w:after="160" w:before="32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e31837"/>
          <w:sz w:val="32"/>
          <w:szCs w:val="32"/>
          <w:rtl w:val="0"/>
        </w:rPr>
        <w:t xml:space="preserve">Section 6  —  Presenter Preparation Notes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5596" w:space="0" w:sz="12" w:val="single"/>
          <w:left w:color="005596" w:space="0" w:sz="12" w:val="single"/>
          <w:bottom w:color="005596" w:space="0" w:sz="12" w:val="single"/>
          <w:right w:color="005596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4f8fb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92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2"/>
                <w:szCs w:val="22"/>
                <w:rtl w:val="0"/>
              </w:rPr>
              <w:t xml:space="preserve">Advice for presenters: Know your material well enough that you don’t need to read your slides — practice out loud at least twice. Watch your time — if running behind, cut an activity, not the debrief or the close. If asked a question you can’t answer, it’s okay to say “I’ll find out and follow up.” Energy is contagious.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18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6e7e8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Notes specific to this session (things to remember, tricky transitions, key stories to tell)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5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add session-specific notes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1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shd w:fill="e6e7e8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i w:val="0"/>
                <w:iCs w:val="0"/>
                <w:color w:val="640813"/>
                <w:sz w:val="22"/>
                <w:szCs w:val="22"/>
                <w:rtl w:val="0"/>
              </w:rPr>
              <w:t xml:space="preserve">Post-session: What to archive (file this completed design doc, final slides, and evaluation results in Google Drive)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36454f" w:space="0" w:sz="6" w:val="single"/>
              <w:left w:color="36454f" w:space="0" w:sz="6" w:val="single"/>
              <w:bottom w:color="36454f" w:space="0" w:sz="6" w:val="single"/>
              <w:right w:color="36454f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8">
            <w:pPr>
              <w:spacing w:after="0" w:before="0" w:lineRule="auto"/>
              <w:rPr/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Click to add post-session archive notes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800" w:top="1800" w:left="1440" w:right="1440" w:header="54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ckwel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spacing w:after="0" w:before="0" w:lineRule="auto"/>
      <w:jc w:val="center"/>
      <w:rPr/>
    </w:pPr>
    <w:r w:rsidDel="00000000" w:rsidR="00000000" w:rsidRPr="00000000">
      <w:rPr/>
      <w:drawing>
        <wp:inline distB="0" distT="0" distL="0" distR="0">
          <wp:extent cx="5829300" cy="619125"/>
          <wp:effectExtent b="0" l="0" r="0" t="0"/>
          <wp:docPr descr="OA tagline footer" id="2" name="image2.jpg"/>
          <a:graphic>
            <a:graphicData uri="http://schemas.openxmlformats.org/drawingml/2006/picture">
              <pic:pic>
                <pic:nvPicPr>
                  <pic:cNvPr descr="OA tagline footer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2930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spacing w:after="80" w:before="0" w:lineRule="auto"/>
      <w:rPr/>
    </w:pPr>
    <w:r w:rsidDel="00000000" w:rsidR="00000000" w:rsidRPr="00000000">
      <w:rPr/>
      <w:drawing>
        <wp:inline distB="0" distT="0" distL="0" distR="0">
          <wp:extent cx="2286000" cy="381000"/>
          <wp:effectExtent b="0" l="0" r="0" t="0"/>
          <wp:docPr descr="Sequoyah Lodge OA logo" id="1" name="image1.png"/>
          <a:graphic>
            <a:graphicData uri="http://schemas.openxmlformats.org/drawingml/2006/picture">
              <pic:pic>
                <pic:nvPicPr>
                  <pic:cNvPr descr="Sequoyah Lodge OA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color w:val="36454f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36454f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E00qMsu/6ZpD3g52g0DiNymIg==">CgMxLjA4AHIhMUZKWW85VGt3a0hIcE1qbmRKSTBHWVR2RW1UUHdUVWRK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